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E1270" w14:textId="13AF6F1D" w:rsidR="00E203C2" w:rsidRDefault="00E203C2" w:rsidP="00E203C2">
      <w:r>
        <w:rPr>
          <w:noProof/>
          <w:lang w:eastAsia="en-GB" w:bidi="ar-SA"/>
        </w:rPr>
        <w:drawing>
          <wp:inline distT="0" distB="0" distL="0" distR="0" wp14:anchorId="7B8325A2" wp14:editId="4C465A9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F061380" w14:textId="77777777" w:rsidR="00E203C2" w:rsidRDefault="00E203C2" w:rsidP="00E203C2"/>
    <w:p w14:paraId="3726F3E9" w14:textId="1E35DC2F" w:rsidR="00CA641D" w:rsidRPr="00507BC5" w:rsidRDefault="00BA4E24" w:rsidP="00CA641D">
      <w:pPr>
        <w:rPr>
          <w:b/>
          <w:sz w:val="28"/>
          <w:szCs w:val="28"/>
        </w:rPr>
      </w:pPr>
      <w:r>
        <w:rPr>
          <w:b/>
          <w:sz w:val="28"/>
          <w:szCs w:val="28"/>
        </w:rPr>
        <w:t>21 June</w:t>
      </w:r>
      <w:r w:rsidR="00507BC5" w:rsidRPr="00507BC5">
        <w:rPr>
          <w:b/>
          <w:sz w:val="28"/>
          <w:szCs w:val="28"/>
        </w:rPr>
        <w:t xml:space="preserve"> 2018</w:t>
      </w:r>
    </w:p>
    <w:p w14:paraId="6C680663" w14:textId="460519C1" w:rsidR="00CA641D" w:rsidRPr="00507BC5" w:rsidRDefault="00507BC5" w:rsidP="00CA641D">
      <w:pPr>
        <w:rPr>
          <w:b/>
          <w:sz w:val="28"/>
          <w:szCs w:val="28"/>
        </w:rPr>
      </w:pPr>
      <w:r w:rsidRPr="00507BC5">
        <w:rPr>
          <w:b/>
          <w:sz w:val="28"/>
          <w:szCs w:val="28"/>
        </w:rPr>
        <w:t>[</w:t>
      </w:r>
      <w:r w:rsidR="00BA4E24">
        <w:rPr>
          <w:b/>
          <w:sz w:val="28"/>
          <w:szCs w:val="28"/>
        </w:rPr>
        <w:t>50</w:t>
      </w:r>
      <w:bookmarkStart w:id="0" w:name="_GoBack"/>
      <w:bookmarkEnd w:id="0"/>
      <w:r w:rsidRPr="00507BC5">
        <w:rPr>
          <w:b/>
          <w:sz w:val="28"/>
          <w:szCs w:val="28"/>
        </w:rPr>
        <w:t>-18</w:t>
      </w:r>
      <w:r w:rsidR="00CA641D" w:rsidRPr="00507BC5">
        <w:rPr>
          <w:b/>
          <w:sz w:val="28"/>
          <w:szCs w:val="28"/>
        </w:rPr>
        <w:t>]</w:t>
      </w:r>
    </w:p>
    <w:p w14:paraId="6DC9EE83" w14:textId="77777777" w:rsidR="0057615C" w:rsidRPr="0057615C" w:rsidRDefault="0057615C" w:rsidP="00690206">
      <w:pPr>
        <w:pStyle w:val="FSTitle"/>
        <w:rPr>
          <w:b/>
          <w:sz w:val="22"/>
        </w:rPr>
      </w:pPr>
    </w:p>
    <w:p w14:paraId="2422C70D" w14:textId="411DD2A3" w:rsidR="00BA24E2" w:rsidRPr="00D24EA2" w:rsidRDefault="00092CDA" w:rsidP="00D24EA2">
      <w:pPr>
        <w:pStyle w:val="FSCh1Chap"/>
      </w:pPr>
      <w:bookmarkStart w:id="1" w:name="_Toc505255625"/>
      <w:r w:rsidRPr="00D24EA2">
        <w:t>S</w:t>
      </w:r>
      <w:r w:rsidR="00B12F1E" w:rsidRPr="00D24EA2">
        <w:t>upporting document</w:t>
      </w:r>
      <w:r w:rsidRPr="00D24EA2">
        <w:t xml:space="preserve"> </w:t>
      </w:r>
      <w:r w:rsidR="00AC6EE5" w:rsidRPr="00D24EA2">
        <w:t>1</w:t>
      </w:r>
      <w:bookmarkEnd w:id="1"/>
    </w:p>
    <w:p w14:paraId="653B1191" w14:textId="7D284ECF" w:rsidR="00D056F1" w:rsidRPr="00AC6EE5" w:rsidRDefault="004702EF" w:rsidP="00690206">
      <w:pPr>
        <w:pStyle w:val="FSTitle"/>
      </w:pPr>
      <w:r>
        <w:t xml:space="preserve">Food technology and </w:t>
      </w:r>
      <w:r w:rsidR="004A0207">
        <w:t xml:space="preserve">safety </w:t>
      </w:r>
      <w:r w:rsidR="00320839" w:rsidRPr="00AC6EE5">
        <w:t>assessment</w:t>
      </w:r>
      <w:r w:rsidR="006B5EBE" w:rsidRPr="00AC6EE5">
        <w:t xml:space="preserve"> – </w:t>
      </w:r>
      <w:r w:rsidR="00D056F1" w:rsidRPr="00AC6EE5">
        <w:t>A</w:t>
      </w:r>
      <w:r w:rsidR="00B12F1E" w:rsidRPr="00AC6EE5">
        <w:t>pplication</w:t>
      </w:r>
      <w:r w:rsidR="00D056F1" w:rsidRPr="00AC6EE5">
        <w:t xml:space="preserve"> A</w:t>
      </w:r>
      <w:r w:rsidR="00AC6EE5" w:rsidRPr="00AC6EE5">
        <w:t>1153</w:t>
      </w:r>
    </w:p>
    <w:p w14:paraId="261DCB55" w14:textId="77777777" w:rsidR="00E203C2" w:rsidRPr="00AC6EE5" w:rsidRDefault="00E203C2" w:rsidP="00690206"/>
    <w:p w14:paraId="600E45AF" w14:textId="5B58328A" w:rsidR="00D056F1" w:rsidRPr="00AC6EE5" w:rsidRDefault="00AC6EE5" w:rsidP="00690206">
      <w:pPr>
        <w:pStyle w:val="FSTitle"/>
      </w:pPr>
      <w:r w:rsidRPr="00AC6EE5">
        <w:t>Endo-1,4-</w:t>
      </w:r>
      <w:r w:rsidR="009B6595" w:rsidRPr="009B6595">
        <w:rPr>
          <w:rFonts w:cs="Arial"/>
        </w:rPr>
        <w:t xml:space="preserve"> </w:t>
      </w:r>
      <w:r w:rsidR="009B6595">
        <w:rPr>
          <w:rFonts w:cs="Arial"/>
        </w:rPr>
        <w:t>β</w:t>
      </w:r>
      <w:r w:rsidRPr="00AC6EE5">
        <w:t xml:space="preserve">-xylanase </w:t>
      </w:r>
      <w:r w:rsidR="00791E97">
        <w:t xml:space="preserve">from </w:t>
      </w:r>
      <w:r w:rsidR="00791E97" w:rsidRPr="00791E97">
        <w:rPr>
          <w:i/>
        </w:rPr>
        <w:t>T</w:t>
      </w:r>
      <w:r w:rsidR="00CC5883">
        <w:rPr>
          <w:i/>
        </w:rPr>
        <w:t xml:space="preserve">richoderma </w:t>
      </w:r>
      <w:r w:rsidR="00791E97" w:rsidRPr="00791E97">
        <w:rPr>
          <w:i/>
        </w:rPr>
        <w:t>reesei</w:t>
      </w:r>
      <w:r w:rsidR="00791E97">
        <w:t xml:space="preserve"> </w:t>
      </w:r>
      <w:r w:rsidRPr="00AC6EE5">
        <w:t xml:space="preserve">as a </w:t>
      </w:r>
      <w:r w:rsidR="009B6595">
        <w:t>p</w:t>
      </w:r>
      <w:r w:rsidR="009B6595" w:rsidRPr="00AC6EE5">
        <w:t xml:space="preserve">rocessing </w:t>
      </w:r>
      <w:r w:rsidR="009B6595">
        <w:t>a</w:t>
      </w:r>
      <w:r w:rsidR="009B6595" w:rsidRPr="00AC6EE5">
        <w:t>id</w:t>
      </w:r>
      <w:r w:rsidR="009B6595">
        <w:t xml:space="preserve"> </w:t>
      </w:r>
      <w:r w:rsidR="007C7C4B">
        <w:t>(</w:t>
      </w:r>
      <w:r w:rsidR="009B6595">
        <w:t>e</w:t>
      </w:r>
      <w:r w:rsidR="007C7C4B">
        <w:t>nzyme)</w:t>
      </w:r>
    </w:p>
    <w:p w14:paraId="1E942132" w14:textId="77777777" w:rsidR="00E203C2" w:rsidRPr="00B37BF0" w:rsidRDefault="00E203C2" w:rsidP="00E203C2">
      <w:pPr>
        <w:pBdr>
          <w:bottom w:val="single" w:sz="12" w:space="1" w:color="auto"/>
        </w:pBdr>
        <w:spacing w:line="280" w:lineRule="exact"/>
        <w:rPr>
          <w:rFonts w:cs="Arial"/>
          <w:bCs/>
        </w:rPr>
      </w:pPr>
    </w:p>
    <w:p w14:paraId="33CA2DBE" w14:textId="77777777" w:rsidR="00E203C2" w:rsidRPr="00B37BF0" w:rsidRDefault="00E203C2" w:rsidP="00E203C2"/>
    <w:p w14:paraId="6E499CCD" w14:textId="77777777" w:rsidR="00092CDA" w:rsidRPr="00680184" w:rsidRDefault="00092CDA" w:rsidP="00680184">
      <w:pPr>
        <w:pStyle w:val="FSCh1Chap"/>
      </w:pPr>
      <w:bookmarkStart w:id="2" w:name="_Toc286391001"/>
      <w:bookmarkStart w:id="3" w:name="_Toc300933414"/>
      <w:bookmarkStart w:id="4" w:name="_Toc499282426"/>
      <w:bookmarkStart w:id="5" w:name="_Toc505255626"/>
      <w:r w:rsidRPr="00680184">
        <w:t xml:space="preserve">Executive </w:t>
      </w:r>
      <w:r w:rsidR="00B12F1E" w:rsidRPr="00680184">
        <w:t>s</w:t>
      </w:r>
      <w:r w:rsidRPr="00680184">
        <w:t>ummary</w:t>
      </w:r>
      <w:bookmarkEnd w:id="2"/>
      <w:bookmarkEnd w:id="3"/>
      <w:bookmarkEnd w:id="4"/>
      <w:bookmarkEnd w:id="5"/>
    </w:p>
    <w:p w14:paraId="78212607" w14:textId="564DB611" w:rsidR="008D41F2" w:rsidRDefault="00910D07" w:rsidP="00690206">
      <w:r>
        <w:t xml:space="preserve">FSANZ has assessed an application from </w:t>
      </w:r>
      <w:r w:rsidR="008D41F2">
        <w:t xml:space="preserve">AB Enzymes GmbH </w:t>
      </w:r>
      <w:r w:rsidR="0020648B">
        <w:t xml:space="preserve">(AB Enzymes) </w:t>
      </w:r>
      <w:r>
        <w:t>to permit the use of</w:t>
      </w:r>
      <w:r w:rsidR="008D41F2">
        <w:t xml:space="preserve"> </w:t>
      </w:r>
      <w:r w:rsidR="009B6595">
        <w:t>e</w:t>
      </w:r>
      <w:r w:rsidR="008D41F2">
        <w:t>ndo-1,4-</w:t>
      </w:r>
      <w:r w:rsidR="008D41F2">
        <w:rPr>
          <w:rFonts w:cs="Arial"/>
        </w:rPr>
        <w:t>β</w:t>
      </w:r>
      <w:r w:rsidR="008D41F2">
        <w:t xml:space="preserve">-xylanase as a processing aid </w:t>
      </w:r>
      <w:r>
        <w:t>(enzyme)</w:t>
      </w:r>
      <w:r w:rsidR="008D41F2">
        <w:t xml:space="preserve">. The enzyme is obtained from a genetically modified strain of </w:t>
      </w:r>
      <w:r w:rsidR="008D41F2" w:rsidRPr="008D41F2">
        <w:rPr>
          <w:i/>
        </w:rPr>
        <w:t>Trichoderma reesei</w:t>
      </w:r>
      <w:r w:rsidR="008D41F2">
        <w:t xml:space="preserve"> </w:t>
      </w:r>
      <w:r w:rsidR="00193A7E" w:rsidRPr="00193A7E">
        <w:rPr>
          <w:i/>
        </w:rPr>
        <w:t>(T.reesei)</w:t>
      </w:r>
      <w:r w:rsidR="00193A7E">
        <w:t xml:space="preserve"> </w:t>
      </w:r>
      <w:r w:rsidR="008D41F2">
        <w:t xml:space="preserve">expressing a xylanase gene from </w:t>
      </w:r>
      <w:r w:rsidR="008D41F2" w:rsidRPr="008D41F2">
        <w:rPr>
          <w:i/>
        </w:rPr>
        <w:t>Thermopolyspora flexuosa</w:t>
      </w:r>
      <w:r w:rsidR="00A91A9D">
        <w:rPr>
          <w:i/>
        </w:rPr>
        <w:t xml:space="preserve"> (T.flexuosa)</w:t>
      </w:r>
      <w:r w:rsidR="008D41F2">
        <w:t xml:space="preserve"> (previously known as </w:t>
      </w:r>
      <w:r w:rsidR="008D41F2" w:rsidRPr="008D41F2">
        <w:rPr>
          <w:i/>
        </w:rPr>
        <w:t>Nonomuraea flexuosa</w:t>
      </w:r>
      <w:r w:rsidR="008D41F2">
        <w:t xml:space="preserve">). </w:t>
      </w:r>
    </w:p>
    <w:p w14:paraId="52371242" w14:textId="0310E6D6" w:rsidR="008D41F2" w:rsidRDefault="008D41F2" w:rsidP="008D41F2"/>
    <w:p w14:paraId="7B12FA28" w14:textId="597F7DDE" w:rsidR="009328CA" w:rsidRDefault="00224C03" w:rsidP="0020648B">
      <w:r>
        <w:t>E</w:t>
      </w:r>
      <w:r w:rsidR="0020648B">
        <w:t>ndo-1,4-</w:t>
      </w:r>
      <w:r w:rsidR="0020648B">
        <w:rPr>
          <w:rFonts w:cs="Arial"/>
        </w:rPr>
        <w:t>β</w:t>
      </w:r>
      <w:r w:rsidR="0020648B">
        <w:t xml:space="preserve">-xylanase </w:t>
      </w:r>
      <w:r w:rsidR="00464176">
        <w:t>is used for the depolymerisation of</w:t>
      </w:r>
      <w:r w:rsidR="008327DF">
        <w:t xml:space="preserve"> arabinoxylans </w:t>
      </w:r>
      <w:r w:rsidR="0020648B">
        <w:t xml:space="preserve">in </w:t>
      </w:r>
      <w:r>
        <w:t xml:space="preserve">the manufacture and processing of </w:t>
      </w:r>
      <w:r w:rsidR="00910D07">
        <w:t xml:space="preserve">bakery products, cereal products, </w:t>
      </w:r>
      <w:r>
        <w:t>grain</w:t>
      </w:r>
      <w:r w:rsidR="00534832">
        <w:t xml:space="preserve">, </w:t>
      </w:r>
      <w:r>
        <w:t>cereal based beverages</w:t>
      </w:r>
      <w:r w:rsidR="00C31503">
        <w:t xml:space="preserve"> (including beer)</w:t>
      </w:r>
      <w:r w:rsidR="00534832">
        <w:t xml:space="preserve"> </w:t>
      </w:r>
      <w:r w:rsidR="00910D07">
        <w:t xml:space="preserve">and </w:t>
      </w:r>
      <w:r w:rsidR="00C31503">
        <w:t xml:space="preserve">potable </w:t>
      </w:r>
      <w:r w:rsidR="00910D07">
        <w:t>alcohol.</w:t>
      </w:r>
      <w:r w:rsidR="00FE4046">
        <w:t xml:space="preserve"> Use </w:t>
      </w:r>
      <w:r w:rsidR="00094535">
        <w:t>of endo</w:t>
      </w:r>
      <w:r w:rsidR="00FE4046">
        <w:t>-1,4-</w:t>
      </w:r>
      <w:r w:rsidR="00FE4046">
        <w:rPr>
          <w:rFonts w:cs="Arial"/>
        </w:rPr>
        <w:t>β</w:t>
      </w:r>
      <w:r w:rsidR="00FE4046">
        <w:t xml:space="preserve">-xylanase in these foods provides consistent quality and production efficiencies for food manufacturers. </w:t>
      </w:r>
    </w:p>
    <w:p w14:paraId="6644FFAD" w14:textId="4E884EE1" w:rsidR="00E912AD" w:rsidRDefault="00E912AD" w:rsidP="00573A32"/>
    <w:p w14:paraId="7E028CA9" w14:textId="6B452368" w:rsidR="00573A32" w:rsidRDefault="00573A32" w:rsidP="00573A32">
      <w:r>
        <w:t xml:space="preserve">The food technology assessment </w:t>
      </w:r>
      <w:r w:rsidR="00464176">
        <w:t>concluded that</w:t>
      </w:r>
      <w:r>
        <w:t xml:space="preserve"> the technological purpose </w:t>
      </w:r>
      <w:r w:rsidR="00C02066">
        <w:t xml:space="preserve">as a processing aid </w:t>
      </w:r>
      <w:r w:rsidR="00791E97">
        <w:t xml:space="preserve">for </w:t>
      </w:r>
      <w:r>
        <w:t xml:space="preserve">the form and </w:t>
      </w:r>
      <w:r w:rsidR="001D4FF3">
        <w:t>quantity</w:t>
      </w:r>
      <w:r>
        <w:t xml:space="preserve"> are met and justified for use in bakery products, cereal products, </w:t>
      </w:r>
      <w:r w:rsidR="00A46008">
        <w:t xml:space="preserve">grain, </w:t>
      </w:r>
      <w:r w:rsidR="00C80C8F">
        <w:t xml:space="preserve">cereal based beverages (including beer) </w:t>
      </w:r>
      <w:r>
        <w:t xml:space="preserve">and </w:t>
      </w:r>
      <w:r w:rsidR="00C80C8F">
        <w:t xml:space="preserve">potable </w:t>
      </w:r>
      <w:r>
        <w:t>alcohol.</w:t>
      </w:r>
      <w:r w:rsidR="009328CA">
        <w:t xml:space="preserve"> The enzyme preparation meets internationally accepted </w:t>
      </w:r>
      <w:r w:rsidR="00AD7A4B">
        <w:t xml:space="preserve">enzyme </w:t>
      </w:r>
      <w:r w:rsidR="009328CA">
        <w:t>identification</w:t>
      </w:r>
      <w:r w:rsidR="00464176">
        <w:t xml:space="preserve"> and </w:t>
      </w:r>
      <w:r w:rsidR="00580593">
        <w:t xml:space="preserve">accepted </w:t>
      </w:r>
      <w:r w:rsidR="009328CA">
        <w:t xml:space="preserve">chemical and microbiological specifications. </w:t>
      </w:r>
    </w:p>
    <w:p w14:paraId="7E71E6EB" w14:textId="77777777" w:rsidR="00573A32" w:rsidRDefault="00573A32" w:rsidP="0020648B"/>
    <w:p w14:paraId="7ED6DEE3" w14:textId="77777777" w:rsidR="009B13C8" w:rsidRDefault="00B21106" w:rsidP="00A037C5">
      <w:pPr>
        <w:pStyle w:val="FSBullet1"/>
        <w:numPr>
          <w:ilvl w:val="0"/>
          <w:numId w:val="0"/>
        </w:numPr>
      </w:pPr>
      <w:r w:rsidRPr="00E80F21">
        <w:t>The</w:t>
      </w:r>
      <w:r w:rsidR="00464176">
        <w:t xml:space="preserve"> safety assessment concluded that there</w:t>
      </w:r>
      <w:r w:rsidRPr="00EE0B89">
        <w:t xml:space="preserve"> are no public health and safety concerns associated with the use of </w:t>
      </w:r>
      <w:r>
        <w:t>endo-1,4-β-</w:t>
      </w:r>
      <w:r w:rsidR="00094535">
        <w:t xml:space="preserve">xylanase </w:t>
      </w:r>
      <w:r w:rsidR="00094535" w:rsidRPr="00EE0B89">
        <w:t>from</w:t>
      </w:r>
      <w:r w:rsidRPr="00EE0B89">
        <w:t xml:space="preserve"> </w:t>
      </w:r>
      <w:r w:rsidRPr="00EE0B89">
        <w:rPr>
          <w:i/>
        </w:rPr>
        <w:t>T. reesei</w:t>
      </w:r>
      <w:r w:rsidRPr="00EE0B89">
        <w:t xml:space="preserve"> as a food processing aid, based on the following considerations:</w:t>
      </w:r>
      <w:r>
        <w:t xml:space="preserve"> </w:t>
      </w:r>
    </w:p>
    <w:p w14:paraId="65D67D67" w14:textId="7D09DFAD" w:rsidR="00E912AD" w:rsidRPr="009265D9" w:rsidRDefault="00E912AD" w:rsidP="00A037C5">
      <w:pPr>
        <w:pStyle w:val="FSBullet1"/>
      </w:pPr>
      <w:r w:rsidRPr="009265D9">
        <w:t xml:space="preserve">The production organism </w:t>
      </w:r>
      <w:r>
        <w:rPr>
          <w:i/>
        </w:rPr>
        <w:t>T. reesei</w:t>
      </w:r>
      <w:r>
        <w:t xml:space="preserve"> is not toxigenic or</w:t>
      </w:r>
      <w:r w:rsidRPr="009265D9">
        <w:t xml:space="preserve"> pathogenic and is absent in the final enzyme preparation proposed to be used as a food processing aid. Further, </w:t>
      </w:r>
      <w:r>
        <w:rPr>
          <w:i/>
        </w:rPr>
        <w:t>T. reesei</w:t>
      </w:r>
      <w:r>
        <w:t xml:space="preserve"> </w:t>
      </w:r>
      <w:r w:rsidRPr="009265D9">
        <w:t xml:space="preserve">has a </w:t>
      </w:r>
      <w:r>
        <w:t xml:space="preserve">long </w:t>
      </w:r>
      <w:r w:rsidRPr="009265D9">
        <w:t>history of safe use as the production organism for a number of enzyme processing aids that are already permitted in the Code.</w:t>
      </w:r>
    </w:p>
    <w:p w14:paraId="7095C270" w14:textId="4DDCFFFA" w:rsidR="00E912AD" w:rsidRDefault="00E912AD" w:rsidP="00E912AD">
      <w:pPr>
        <w:pStyle w:val="FSBullet1"/>
        <w:ind w:left="426" w:hanging="426"/>
        <w:rPr>
          <w:lang w:eastAsia="en-AU"/>
        </w:rPr>
      </w:pPr>
      <w:r>
        <w:t xml:space="preserve">Endo-1,4-β-xylanase from </w:t>
      </w:r>
      <w:r>
        <w:rPr>
          <w:i/>
        </w:rPr>
        <w:t>T. reesei</w:t>
      </w:r>
      <w:r w:rsidRPr="00016C48">
        <w:rPr>
          <w:lang w:eastAsia="en-AU"/>
        </w:rPr>
        <w:t xml:space="preserve"> </w:t>
      </w:r>
      <w:r>
        <w:rPr>
          <w:lang w:eastAsia="en-AU"/>
        </w:rPr>
        <w:t xml:space="preserve">was not mutagenic nor genotoxic </w:t>
      </w:r>
      <w:r w:rsidRPr="000E223D">
        <w:rPr>
          <w:i/>
          <w:lang w:eastAsia="en-AU"/>
        </w:rPr>
        <w:t>in vitro</w:t>
      </w:r>
      <w:r w:rsidRPr="00D45151">
        <w:rPr>
          <w:lang w:eastAsia="en-AU"/>
        </w:rPr>
        <w:t>.</w:t>
      </w:r>
    </w:p>
    <w:p w14:paraId="3C5143B7" w14:textId="38BD9C45" w:rsidR="00E912AD" w:rsidRDefault="00E912AD" w:rsidP="00E912AD">
      <w:pPr>
        <w:pStyle w:val="FSBullet1"/>
        <w:ind w:left="426" w:hanging="426"/>
        <w:rPr>
          <w:lang w:eastAsia="en-AU"/>
        </w:rPr>
      </w:pPr>
      <w:r w:rsidRPr="000E223D">
        <w:rPr>
          <w:rFonts w:eastAsia="Calibri"/>
        </w:rPr>
        <w:t xml:space="preserve">The </w:t>
      </w:r>
      <w:r>
        <w:rPr>
          <w:rFonts w:eastAsia="Calibri"/>
        </w:rPr>
        <w:t>no observed adverse effect level (</w:t>
      </w:r>
      <w:r w:rsidRPr="000E223D">
        <w:rPr>
          <w:rFonts w:eastAsia="Calibri"/>
        </w:rPr>
        <w:t>NOAEL</w:t>
      </w:r>
      <w:r>
        <w:rPr>
          <w:rFonts w:eastAsia="Calibri"/>
        </w:rPr>
        <w:t>)</w:t>
      </w:r>
      <w:r w:rsidRPr="000E223D">
        <w:rPr>
          <w:rFonts w:eastAsia="Calibri"/>
        </w:rPr>
        <w:t xml:space="preserve"> in a 13-week repeat dose oral toxicity study in rats was the highest dose tested and </w:t>
      </w:r>
      <w:r>
        <w:rPr>
          <w:lang w:eastAsia="en-AU"/>
        </w:rPr>
        <w:t xml:space="preserve">corresponds to 1000 mg/kg bw/day or 940 mg total organic </w:t>
      </w:r>
      <w:r>
        <w:rPr>
          <w:lang w:eastAsia="en-AU"/>
        </w:rPr>
        <w:lastRenderedPageBreak/>
        <w:t>solids (TOS)/kg bw/day. This is more than 2000-</w:t>
      </w:r>
      <w:r w:rsidRPr="009F51C9">
        <w:rPr>
          <w:lang w:eastAsia="en-AU"/>
        </w:rPr>
        <w:t>fold higher than the Applicant’s estimate of an individual’s theoretical maximal daily intake</w:t>
      </w:r>
      <w:r>
        <w:rPr>
          <w:lang w:eastAsia="en-AU"/>
        </w:rPr>
        <w:t xml:space="preserve"> (0.41 mg TOS/kg bw/day) based on the proposed uses, as stated in the Application.</w:t>
      </w:r>
    </w:p>
    <w:p w14:paraId="01C13767" w14:textId="0E9CA180" w:rsidR="00900049" w:rsidRPr="00900049" w:rsidRDefault="00E912AD" w:rsidP="00900049">
      <w:pPr>
        <w:pStyle w:val="FSBullet1"/>
        <w:rPr>
          <w:lang w:eastAsia="en-AU"/>
        </w:rPr>
      </w:pPr>
      <w:r w:rsidRPr="00900049">
        <w:t>Endo</w:t>
      </w:r>
      <w:r>
        <w:t xml:space="preserve">-1,4-β-xylanase from </w:t>
      </w:r>
      <w:r>
        <w:rPr>
          <w:i/>
        </w:rPr>
        <w:t>T. reesei</w:t>
      </w:r>
      <w:r>
        <w:rPr>
          <w:lang w:eastAsia="en-AU"/>
        </w:rPr>
        <w:t xml:space="preserve"> does not </w:t>
      </w:r>
      <w:r>
        <w:rPr>
          <w:rFonts w:eastAsia="Calibri"/>
        </w:rPr>
        <w:t xml:space="preserve">have the characteristics of a potential food allergen and ingestion of any residual </w:t>
      </w:r>
      <w:r>
        <w:t xml:space="preserve">endo-1,4-β-xylanase </w:t>
      </w:r>
      <w:r>
        <w:rPr>
          <w:rFonts w:eastAsia="Calibri"/>
        </w:rPr>
        <w:t xml:space="preserve"> in food products is unlikely to pose an allergenicity concern</w:t>
      </w:r>
      <w:r>
        <w:rPr>
          <w:lang w:eastAsia="en-AU"/>
        </w:rPr>
        <w:t>.</w:t>
      </w:r>
    </w:p>
    <w:p w14:paraId="116804C7" w14:textId="77777777" w:rsidR="00900049" w:rsidRDefault="00900049" w:rsidP="00E912AD"/>
    <w:p w14:paraId="346CD917" w14:textId="5686EE12" w:rsidR="00092CDA" w:rsidRPr="008D41F2" w:rsidRDefault="00F86C0C" w:rsidP="00E912AD">
      <w:pPr>
        <w:sectPr w:rsidR="00092CDA" w:rsidRPr="008D41F2" w:rsidSect="0054272D">
          <w:pgSz w:w="11906" w:h="16838"/>
          <w:pgMar w:top="1418" w:right="1418" w:bottom="1418" w:left="1418" w:header="709" w:footer="709" w:gutter="0"/>
          <w:pgNumType w:fmt="lowerRoman" w:start="1"/>
          <w:cols w:space="708"/>
          <w:docGrid w:linePitch="360"/>
        </w:sectPr>
      </w:pPr>
      <w:r>
        <w:rPr>
          <w:lang w:eastAsia="en-AU"/>
        </w:rPr>
        <w:t>From the toxi</w:t>
      </w:r>
      <w:r w:rsidR="00EA05E3">
        <w:rPr>
          <w:lang w:eastAsia="en-AU"/>
        </w:rPr>
        <w:t>co</w:t>
      </w:r>
      <w:r>
        <w:rPr>
          <w:lang w:eastAsia="en-AU"/>
        </w:rPr>
        <w:t>logical data and i</w:t>
      </w:r>
      <w:r w:rsidR="00B21106">
        <w:rPr>
          <w:lang w:eastAsia="en-AU"/>
        </w:rPr>
        <w:t>n the absence of any identifiable hazard an Acceptable Daily Intake (ADI) ‘not specified’ is appropriate. A dietary exposure assessment was not required.</w:t>
      </w:r>
    </w:p>
    <w:p w14:paraId="2ABCD9D9"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53540377" w14:textId="1F4CBA9E" w:rsidR="00363932" w:rsidRDefault="00326D85">
      <w:pPr>
        <w:pStyle w:val="TOC1"/>
        <w:tabs>
          <w:tab w:val="right" w:leader="dot" w:pos="9060"/>
        </w:tabs>
        <w:rPr>
          <w:rFonts w:eastAsiaTheme="minorEastAsia" w:cstheme="minorBidi"/>
          <w:b w:val="0"/>
          <w:bCs w:val="0"/>
          <w:caps w:val="0"/>
          <w:noProof/>
          <w:sz w:val="22"/>
          <w:szCs w:val="22"/>
          <w:lang w:val="en-NZ" w:eastAsia="en-NZ" w:bidi="ar-SA"/>
        </w:rPr>
      </w:pPr>
      <w:r>
        <w:fldChar w:fldCharType="begin"/>
      </w:r>
      <w:r>
        <w:instrText xml:space="preserve"> TOC \o "1-3" \h \z \u </w:instrText>
      </w:r>
      <w:r>
        <w:fldChar w:fldCharType="separate"/>
      </w:r>
      <w:hyperlink w:anchor="_Toc505255625" w:history="1">
        <w:r w:rsidR="00363932" w:rsidRPr="00826F62">
          <w:rPr>
            <w:rStyle w:val="Hyperlink"/>
            <w:noProof/>
          </w:rPr>
          <w:t>Supporting document 1</w:t>
        </w:r>
        <w:r w:rsidR="00363932">
          <w:rPr>
            <w:noProof/>
            <w:webHidden/>
          </w:rPr>
          <w:tab/>
        </w:r>
        <w:r w:rsidR="00363932">
          <w:rPr>
            <w:noProof/>
            <w:webHidden/>
          </w:rPr>
          <w:fldChar w:fldCharType="begin"/>
        </w:r>
        <w:r w:rsidR="00363932">
          <w:rPr>
            <w:noProof/>
            <w:webHidden/>
          </w:rPr>
          <w:instrText xml:space="preserve"> PAGEREF _Toc505255625 \h </w:instrText>
        </w:r>
        <w:r w:rsidR="00363932">
          <w:rPr>
            <w:noProof/>
            <w:webHidden/>
          </w:rPr>
        </w:r>
        <w:r w:rsidR="00363932">
          <w:rPr>
            <w:noProof/>
            <w:webHidden/>
          </w:rPr>
          <w:fldChar w:fldCharType="separate"/>
        </w:r>
        <w:r w:rsidR="00DE22C0">
          <w:rPr>
            <w:noProof/>
            <w:webHidden/>
          </w:rPr>
          <w:t>i</w:t>
        </w:r>
        <w:r w:rsidR="00363932">
          <w:rPr>
            <w:noProof/>
            <w:webHidden/>
          </w:rPr>
          <w:fldChar w:fldCharType="end"/>
        </w:r>
      </w:hyperlink>
    </w:p>
    <w:p w14:paraId="5915C94A" w14:textId="4B6AF124" w:rsidR="00363932" w:rsidRDefault="00BA4E24">
      <w:pPr>
        <w:pStyle w:val="TOC1"/>
        <w:tabs>
          <w:tab w:val="right" w:leader="dot" w:pos="9060"/>
        </w:tabs>
        <w:rPr>
          <w:rFonts w:eastAsiaTheme="minorEastAsia" w:cstheme="minorBidi"/>
          <w:b w:val="0"/>
          <w:bCs w:val="0"/>
          <w:caps w:val="0"/>
          <w:noProof/>
          <w:sz w:val="22"/>
          <w:szCs w:val="22"/>
          <w:lang w:val="en-NZ" w:eastAsia="en-NZ" w:bidi="ar-SA"/>
        </w:rPr>
      </w:pPr>
      <w:hyperlink w:anchor="_Toc505255626" w:history="1">
        <w:r w:rsidR="00363932" w:rsidRPr="00826F62">
          <w:rPr>
            <w:rStyle w:val="Hyperlink"/>
            <w:noProof/>
          </w:rPr>
          <w:t>Executive summary</w:t>
        </w:r>
        <w:r w:rsidR="00363932">
          <w:rPr>
            <w:noProof/>
            <w:webHidden/>
          </w:rPr>
          <w:tab/>
        </w:r>
        <w:r w:rsidR="00363932">
          <w:rPr>
            <w:noProof/>
            <w:webHidden/>
          </w:rPr>
          <w:fldChar w:fldCharType="begin"/>
        </w:r>
        <w:r w:rsidR="00363932">
          <w:rPr>
            <w:noProof/>
            <w:webHidden/>
          </w:rPr>
          <w:instrText xml:space="preserve"> PAGEREF _Toc505255626 \h </w:instrText>
        </w:r>
        <w:r w:rsidR="00363932">
          <w:rPr>
            <w:noProof/>
            <w:webHidden/>
          </w:rPr>
        </w:r>
        <w:r w:rsidR="00363932">
          <w:rPr>
            <w:noProof/>
            <w:webHidden/>
          </w:rPr>
          <w:fldChar w:fldCharType="separate"/>
        </w:r>
        <w:r w:rsidR="00DE22C0">
          <w:rPr>
            <w:noProof/>
            <w:webHidden/>
          </w:rPr>
          <w:t>i</w:t>
        </w:r>
        <w:r w:rsidR="00363932">
          <w:rPr>
            <w:noProof/>
            <w:webHidden/>
          </w:rPr>
          <w:fldChar w:fldCharType="end"/>
        </w:r>
      </w:hyperlink>
    </w:p>
    <w:p w14:paraId="33D80CA7" w14:textId="1F700D7A" w:rsidR="00363932" w:rsidRDefault="00BA4E24">
      <w:pPr>
        <w:pStyle w:val="TOC2"/>
        <w:rPr>
          <w:rFonts w:eastAsiaTheme="minorEastAsia" w:cstheme="minorBidi"/>
          <w:smallCaps w:val="0"/>
          <w:noProof/>
          <w:sz w:val="22"/>
          <w:szCs w:val="22"/>
          <w:lang w:val="en-NZ" w:eastAsia="en-NZ" w:bidi="ar-SA"/>
        </w:rPr>
      </w:pPr>
      <w:hyperlink w:anchor="_Toc505255627" w:history="1">
        <w:r w:rsidR="00363932" w:rsidRPr="00826F62">
          <w:rPr>
            <w:rStyle w:val="Hyperlink"/>
            <w:noProof/>
          </w:rPr>
          <w:t>1 Introduction</w:t>
        </w:r>
        <w:r w:rsidR="00363932">
          <w:rPr>
            <w:noProof/>
            <w:webHidden/>
          </w:rPr>
          <w:tab/>
        </w:r>
        <w:r w:rsidR="00363932">
          <w:rPr>
            <w:noProof/>
            <w:webHidden/>
          </w:rPr>
          <w:fldChar w:fldCharType="begin"/>
        </w:r>
        <w:r w:rsidR="00363932">
          <w:rPr>
            <w:noProof/>
            <w:webHidden/>
          </w:rPr>
          <w:instrText xml:space="preserve"> PAGEREF _Toc505255627 \h </w:instrText>
        </w:r>
        <w:r w:rsidR="00363932">
          <w:rPr>
            <w:noProof/>
            <w:webHidden/>
          </w:rPr>
        </w:r>
        <w:r w:rsidR="00363932">
          <w:rPr>
            <w:noProof/>
            <w:webHidden/>
          </w:rPr>
          <w:fldChar w:fldCharType="separate"/>
        </w:r>
        <w:r w:rsidR="00DE22C0">
          <w:rPr>
            <w:noProof/>
            <w:webHidden/>
          </w:rPr>
          <w:t>2</w:t>
        </w:r>
        <w:r w:rsidR="00363932">
          <w:rPr>
            <w:noProof/>
            <w:webHidden/>
          </w:rPr>
          <w:fldChar w:fldCharType="end"/>
        </w:r>
      </w:hyperlink>
    </w:p>
    <w:p w14:paraId="026A244F" w14:textId="2D21A6AD" w:rsidR="00363932" w:rsidRDefault="00BA4E24">
      <w:pPr>
        <w:pStyle w:val="TOC2"/>
        <w:rPr>
          <w:rFonts w:eastAsiaTheme="minorEastAsia" w:cstheme="minorBidi"/>
          <w:smallCaps w:val="0"/>
          <w:noProof/>
          <w:sz w:val="22"/>
          <w:szCs w:val="22"/>
          <w:lang w:val="en-NZ" w:eastAsia="en-NZ" w:bidi="ar-SA"/>
        </w:rPr>
      </w:pPr>
      <w:hyperlink w:anchor="_Toc505255628" w:history="1">
        <w:r w:rsidR="00363932" w:rsidRPr="00826F62">
          <w:rPr>
            <w:rStyle w:val="Hyperlink"/>
            <w:noProof/>
          </w:rPr>
          <w:t>2</w:t>
        </w:r>
        <w:r w:rsidR="00363932">
          <w:rPr>
            <w:rFonts w:eastAsiaTheme="minorEastAsia" w:cstheme="minorBidi"/>
            <w:smallCaps w:val="0"/>
            <w:noProof/>
            <w:sz w:val="22"/>
            <w:szCs w:val="22"/>
            <w:lang w:val="en-NZ" w:eastAsia="en-NZ" w:bidi="ar-SA"/>
          </w:rPr>
          <w:tab/>
        </w:r>
        <w:r w:rsidR="00363932" w:rsidRPr="00826F62">
          <w:rPr>
            <w:rStyle w:val="Hyperlink"/>
            <w:noProof/>
          </w:rPr>
          <w:t>Food technology assessment</w:t>
        </w:r>
        <w:r w:rsidR="00363932">
          <w:rPr>
            <w:noProof/>
            <w:webHidden/>
          </w:rPr>
          <w:tab/>
        </w:r>
        <w:r w:rsidR="00363932">
          <w:rPr>
            <w:noProof/>
            <w:webHidden/>
          </w:rPr>
          <w:fldChar w:fldCharType="begin"/>
        </w:r>
        <w:r w:rsidR="00363932">
          <w:rPr>
            <w:noProof/>
            <w:webHidden/>
          </w:rPr>
          <w:instrText xml:space="preserve"> PAGEREF _Toc505255628 \h </w:instrText>
        </w:r>
        <w:r w:rsidR="00363932">
          <w:rPr>
            <w:noProof/>
            <w:webHidden/>
          </w:rPr>
        </w:r>
        <w:r w:rsidR="00363932">
          <w:rPr>
            <w:noProof/>
            <w:webHidden/>
          </w:rPr>
          <w:fldChar w:fldCharType="separate"/>
        </w:r>
        <w:r w:rsidR="00DE22C0">
          <w:rPr>
            <w:noProof/>
            <w:webHidden/>
          </w:rPr>
          <w:t>2</w:t>
        </w:r>
        <w:r w:rsidR="00363932">
          <w:rPr>
            <w:noProof/>
            <w:webHidden/>
          </w:rPr>
          <w:fldChar w:fldCharType="end"/>
        </w:r>
      </w:hyperlink>
    </w:p>
    <w:p w14:paraId="3CFFA2AC" w14:textId="57A9577E"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29" w:history="1">
        <w:r w:rsidR="00363932" w:rsidRPr="00826F62">
          <w:rPr>
            <w:rStyle w:val="Hyperlink"/>
            <w:noProof/>
          </w:rPr>
          <w:t>2.1 Objectives of the food technology assessment</w:t>
        </w:r>
        <w:r w:rsidR="00363932">
          <w:rPr>
            <w:noProof/>
            <w:webHidden/>
          </w:rPr>
          <w:tab/>
        </w:r>
        <w:r w:rsidR="00363932">
          <w:rPr>
            <w:noProof/>
            <w:webHidden/>
          </w:rPr>
          <w:fldChar w:fldCharType="begin"/>
        </w:r>
        <w:r w:rsidR="00363932">
          <w:rPr>
            <w:noProof/>
            <w:webHidden/>
          </w:rPr>
          <w:instrText xml:space="preserve"> PAGEREF _Toc505255629 \h </w:instrText>
        </w:r>
        <w:r w:rsidR="00363932">
          <w:rPr>
            <w:noProof/>
            <w:webHidden/>
          </w:rPr>
        </w:r>
        <w:r w:rsidR="00363932">
          <w:rPr>
            <w:noProof/>
            <w:webHidden/>
          </w:rPr>
          <w:fldChar w:fldCharType="separate"/>
        </w:r>
        <w:r w:rsidR="00DE22C0">
          <w:rPr>
            <w:noProof/>
            <w:webHidden/>
          </w:rPr>
          <w:t>2</w:t>
        </w:r>
        <w:r w:rsidR="00363932">
          <w:rPr>
            <w:noProof/>
            <w:webHidden/>
          </w:rPr>
          <w:fldChar w:fldCharType="end"/>
        </w:r>
      </w:hyperlink>
    </w:p>
    <w:p w14:paraId="36106E43" w14:textId="6E610DE9"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30" w:history="1">
        <w:r w:rsidR="00363932" w:rsidRPr="00826F62">
          <w:rPr>
            <w:rStyle w:val="Hyperlink"/>
            <w:noProof/>
          </w:rPr>
          <w:t>2.2 Identity of the enzyme</w:t>
        </w:r>
        <w:r w:rsidR="00363932">
          <w:rPr>
            <w:noProof/>
            <w:webHidden/>
          </w:rPr>
          <w:tab/>
        </w:r>
        <w:r w:rsidR="00363932">
          <w:rPr>
            <w:noProof/>
            <w:webHidden/>
          </w:rPr>
          <w:fldChar w:fldCharType="begin"/>
        </w:r>
        <w:r w:rsidR="00363932">
          <w:rPr>
            <w:noProof/>
            <w:webHidden/>
          </w:rPr>
          <w:instrText xml:space="preserve"> PAGEREF _Toc505255630 \h </w:instrText>
        </w:r>
        <w:r w:rsidR="00363932">
          <w:rPr>
            <w:noProof/>
            <w:webHidden/>
          </w:rPr>
        </w:r>
        <w:r w:rsidR="00363932">
          <w:rPr>
            <w:noProof/>
            <w:webHidden/>
          </w:rPr>
          <w:fldChar w:fldCharType="separate"/>
        </w:r>
        <w:r w:rsidR="00DE22C0">
          <w:rPr>
            <w:noProof/>
            <w:webHidden/>
          </w:rPr>
          <w:t>2</w:t>
        </w:r>
        <w:r w:rsidR="00363932">
          <w:rPr>
            <w:noProof/>
            <w:webHidden/>
          </w:rPr>
          <w:fldChar w:fldCharType="end"/>
        </w:r>
      </w:hyperlink>
    </w:p>
    <w:p w14:paraId="2F62DFA6" w14:textId="1A4BE288"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31" w:history="1">
        <w:r w:rsidR="00363932" w:rsidRPr="00826F62">
          <w:rPr>
            <w:rStyle w:val="Hyperlink"/>
            <w:noProof/>
          </w:rPr>
          <w:t>2.3 Product specification</w:t>
        </w:r>
        <w:r w:rsidR="00363932">
          <w:rPr>
            <w:noProof/>
            <w:webHidden/>
          </w:rPr>
          <w:tab/>
        </w:r>
        <w:r w:rsidR="00363932">
          <w:rPr>
            <w:noProof/>
            <w:webHidden/>
          </w:rPr>
          <w:fldChar w:fldCharType="begin"/>
        </w:r>
        <w:r w:rsidR="00363932">
          <w:rPr>
            <w:noProof/>
            <w:webHidden/>
          </w:rPr>
          <w:instrText xml:space="preserve"> PAGEREF _Toc505255631 \h </w:instrText>
        </w:r>
        <w:r w:rsidR="00363932">
          <w:rPr>
            <w:noProof/>
            <w:webHidden/>
          </w:rPr>
        </w:r>
        <w:r w:rsidR="00363932">
          <w:rPr>
            <w:noProof/>
            <w:webHidden/>
          </w:rPr>
          <w:fldChar w:fldCharType="separate"/>
        </w:r>
        <w:r w:rsidR="00DE22C0">
          <w:rPr>
            <w:noProof/>
            <w:webHidden/>
          </w:rPr>
          <w:t>3</w:t>
        </w:r>
        <w:r w:rsidR="00363932">
          <w:rPr>
            <w:noProof/>
            <w:webHidden/>
          </w:rPr>
          <w:fldChar w:fldCharType="end"/>
        </w:r>
      </w:hyperlink>
    </w:p>
    <w:p w14:paraId="7F2ABEF0" w14:textId="2BE39FE2"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32" w:history="1">
        <w:r w:rsidR="00363932" w:rsidRPr="00826F62">
          <w:rPr>
            <w:rStyle w:val="Hyperlink"/>
            <w:noProof/>
          </w:rPr>
          <w:t>2.4 Technological purpose</w:t>
        </w:r>
        <w:r w:rsidR="00363932">
          <w:rPr>
            <w:noProof/>
            <w:webHidden/>
          </w:rPr>
          <w:tab/>
        </w:r>
        <w:r w:rsidR="00363932">
          <w:rPr>
            <w:noProof/>
            <w:webHidden/>
          </w:rPr>
          <w:fldChar w:fldCharType="begin"/>
        </w:r>
        <w:r w:rsidR="00363932">
          <w:rPr>
            <w:noProof/>
            <w:webHidden/>
          </w:rPr>
          <w:instrText xml:space="preserve"> PAGEREF _Toc505255632 \h </w:instrText>
        </w:r>
        <w:r w:rsidR="00363932">
          <w:rPr>
            <w:noProof/>
            <w:webHidden/>
          </w:rPr>
        </w:r>
        <w:r w:rsidR="00363932">
          <w:rPr>
            <w:noProof/>
            <w:webHidden/>
          </w:rPr>
          <w:fldChar w:fldCharType="separate"/>
        </w:r>
        <w:r w:rsidR="00DE22C0">
          <w:rPr>
            <w:noProof/>
            <w:webHidden/>
          </w:rPr>
          <w:t>4</w:t>
        </w:r>
        <w:r w:rsidR="00363932">
          <w:rPr>
            <w:noProof/>
            <w:webHidden/>
          </w:rPr>
          <w:fldChar w:fldCharType="end"/>
        </w:r>
      </w:hyperlink>
    </w:p>
    <w:p w14:paraId="25EC0303" w14:textId="0AA5614D"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33" w:history="1">
        <w:r w:rsidR="00363932" w:rsidRPr="00826F62">
          <w:rPr>
            <w:rStyle w:val="Hyperlink"/>
            <w:noProof/>
          </w:rPr>
          <w:t>2.5 Use levels</w:t>
        </w:r>
        <w:r w:rsidR="00363932">
          <w:rPr>
            <w:noProof/>
            <w:webHidden/>
          </w:rPr>
          <w:tab/>
        </w:r>
        <w:r w:rsidR="00363932">
          <w:rPr>
            <w:noProof/>
            <w:webHidden/>
          </w:rPr>
          <w:fldChar w:fldCharType="begin"/>
        </w:r>
        <w:r w:rsidR="00363932">
          <w:rPr>
            <w:noProof/>
            <w:webHidden/>
          </w:rPr>
          <w:instrText xml:space="preserve"> PAGEREF _Toc505255633 \h </w:instrText>
        </w:r>
        <w:r w:rsidR="00363932">
          <w:rPr>
            <w:noProof/>
            <w:webHidden/>
          </w:rPr>
        </w:r>
        <w:r w:rsidR="00363932">
          <w:rPr>
            <w:noProof/>
            <w:webHidden/>
          </w:rPr>
          <w:fldChar w:fldCharType="separate"/>
        </w:r>
        <w:r w:rsidR="00DE22C0">
          <w:rPr>
            <w:noProof/>
            <w:webHidden/>
          </w:rPr>
          <w:t>4</w:t>
        </w:r>
        <w:r w:rsidR="00363932">
          <w:rPr>
            <w:noProof/>
            <w:webHidden/>
          </w:rPr>
          <w:fldChar w:fldCharType="end"/>
        </w:r>
      </w:hyperlink>
    </w:p>
    <w:p w14:paraId="6A3C4D73" w14:textId="5D4E3805"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34" w:history="1">
        <w:r w:rsidR="00363932" w:rsidRPr="00826F62">
          <w:rPr>
            <w:rStyle w:val="Hyperlink"/>
            <w:noProof/>
          </w:rPr>
          <w:t>2.6 Technological justification</w:t>
        </w:r>
        <w:r w:rsidR="00363932">
          <w:rPr>
            <w:noProof/>
            <w:webHidden/>
          </w:rPr>
          <w:tab/>
        </w:r>
        <w:r w:rsidR="00363932">
          <w:rPr>
            <w:noProof/>
            <w:webHidden/>
          </w:rPr>
          <w:fldChar w:fldCharType="begin"/>
        </w:r>
        <w:r w:rsidR="00363932">
          <w:rPr>
            <w:noProof/>
            <w:webHidden/>
          </w:rPr>
          <w:instrText xml:space="preserve"> PAGEREF _Toc505255634 \h </w:instrText>
        </w:r>
        <w:r w:rsidR="00363932">
          <w:rPr>
            <w:noProof/>
            <w:webHidden/>
          </w:rPr>
        </w:r>
        <w:r w:rsidR="00363932">
          <w:rPr>
            <w:noProof/>
            <w:webHidden/>
          </w:rPr>
          <w:fldChar w:fldCharType="separate"/>
        </w:r>
        <w:r w:rsidR="00DE22C0">
          <w:rPr>
            <w:noProof/>
            <w:webHidden/>
          </w:rPr>
          <w:t>5</w:t>
        </w:r>
        <w:r w:rsidR="00363932">
          <w:rPr>
            <w:noProof/>
            <w:webHidden/>
          </w:rPr>
          <w:fldChar w:fldCharType="end"/>
        </w:r>
      </w:hyperlink>
    </w:p>
    <w:p w14:paraId="267419EF" w14:textId="3FD8F152"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35" w:history="1">
        <w:r w:rsidR="00363932" w:rsidRPr="00826F62">
          <w:rPr>
            <w:rStyle w:val="Hyperlink"/>
            <w:noProof/>
          </w:rPr>
          <w:t>2.7 Production of the enzyme</w:t>
        </w:r>
        <w:r w:rsidR="00363932">
          <w:rPr>
            <w:noProof/>
            <w:webHidden/>
          </w:rPr>
          <w:tab/>
        </w:r>
        <w:r w:rsidR="00363932">
          <w:rPr>
            <w:noProof/>
            <w:webHidden/>
          </w:rPr>
          <w:fldChar w:fldCharType="begin"/>
        </w:r>
        <w:r w:rsidR="00363932">
          <w:rPr>
            <w:noProof/>
            <w:webHidden/>
          </w:rPr>
          <w:instrText xml:space="preserve"> PAGEREF _Toc505255635 \h </w:instrText>
        </w:r>
        <w:r w:rsidR="00363932">
          <w:rPr>
            <w:noProof/>
            <w:webHidden/>
          </w:rPr>
        </w:r>
        <w:r w:rsidR="00363932">
          <w:rPr>
            <w:noProof/>
            <w:webHidden/>
          </w:rPr>
          <w:fldChar w:fldCharType="separate"/>
        </w:r>
        <w:r w:rsidR="00DE22C0">
          <w:rPr>
            <w:noProof/>
            <w:webHidden/>
          </w:rPr>
          <w:t>6</w:t>
        </w:r>
        <w:r w:rsidR="00363932">
          <w:rPr>
            <w:noProof/>
            <w:webHidden/>
          </w:rPr>
          <w:fldChar w:fldCharType="end"/>
        </w:r>
      </w:hyperlink>
    </w:p>
    <w:p w14:paraId="4F13A18B" w14:textId="49281D3F"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36" w:history="1">
        <w:r w:rsidR="00363932" w:rsidRPr="00826F62">
          <w:rPr>
            <w:rStyle w:val="Hyperlink"/>
            <w:noProof/>
          </w:rPr>
          <w:t>2.8 Food technology conclusion</w:t>
        </w:r>
        <w:r w:rsidR="00363932">
          <w:rPr>
            <w:noProof/>
            <w:webHidden/>
          </w:rPr>
          <w:tab/>
        </w:r>
        <w:r w:rsidR="00363932">
          <w:rPr>
            <w:noProof/>
            <w:webHidden/>
          </w:rPr>
          <w:fldChar w:fldCharType="begin"/>
        </w:r>
        <w:r w:rsidR="00363932">
          <w:rPr>
            <w:noProof/>
            <w:webHidden/>
          </w:rPr>
          <w:instrText xml:space="preserve"> PAGEREF _Toc505255636 \h </w:instrText>
        </w:r>
        <w:r w:rsidR="00363932">
          <w:rPr>
            <w:noProof/>
            <w:webHidden/>
          </w:rPr>
        </w:r>
        <w:r w:rsidR="00363932">
          <w:rPr>
            <w:noProof/>
            <w:webHidden/>
          </w:rPr>
          <w:fldChar w:fldCharType="separate"/>
        </w:r>
        <w:r w:rsidR="00DE22C0">
          <w:rPr>
            <w:noProof/>
            <w:webHidden/>
          </w:rPr>
          <w:t>7</w:t>
        </w:r>
        <w:r w:rsidR="00363932">
          <w:rPr>
            <w:noProof/>
            <w:webHidden/>
          </w:rPr>
          <w:fldChar w:fldCharType="end"/>
        </w:r>
      </w:hyperlink>
    </w:p>
    <w:p w14:paraId="3F29226B" w14:textId="719B69E9" w:rsidR="00363932" w:rsidRDefault="00BA4E24">
      <w:pPr>
        <w:pStyle w:val="TOC2"/>
        <w:rPr>
          <w:rFonts w:eastAsiaTheme="minorEastAsia" w:cstheme="minorBidi"/>
          <w:smallCaps w:val="0"/>
          <w:noProof/>
          <w:sz w:val="22"/>
          <w:szCs w:val="22"/>
          <w:lang w:val="en-NZ" w:eastAsia="en-NZ" w:bidi="ar-SA"/>
        </w:rPr>
      </w:pPr>
      <w:hyperlink w:anchor="_Toc505255637" w:history="1">
        <w:r w:rsidR="00363932" w:rsidRPr="00826F62">
          <w:rPr>
            <w:rStyle w:val="Hyperlink"/>
            <w:noProof/>
          </w:rPr>
          <w:t>3 Safety assessment</w:t>
        </w:r>
        <w:r w:rsidR="00363932">
          <w:rPr>
            <w:noProof/>
            <w:webHidden/>
          </w:rPr>
          <w:tab/>
        </w:r>
        <w:r w:rsidR="00363932">
          <w:rPr>
            <w:noProof/>
            <w:webHidden/>
          </w:rPr>
          <w:fldChar w:fldCharType="begin"/>
        </w:r>
        <w:r w:rsidR="00363932">
          <w:rPr>
            <w:noProof/>
            <w:webHidden/>
          </w:rPr>
          <w:instrText xml:space="preserve"> PAGEREF _Toc505255637 \h </w:instrText>
        </w:r>
        <w:r w:rsidR="00363932">
          <w:rPr>
            <w:noProof/>
            <w:webHidden/>
          </w:rPr>
        </w:r>
        <w:r w:rsidR="00363932">
          <w:rPr>
            <w:noProof/>
            <w:webHidden/>
          </w:rPr>
          <w:fldChar w:fldCharType="separate"/>
        </w:r>
        <w:r w:rsidR="00DE22C0">
          <w:rPr>
            <w:noProof/>
            <w:webHidden/>
          </w:rPr>
          <w:t>7</w:t>
        </w:r>
        <w:r w:rsidR="00363932">
          <w:rPr>
            <w:noProof/>
            <w:webHidden/>
          </w:rPr>
          <w:fldChar w:fldCharType="end"/>
        </w:r>
      </w:hyperlink>
    </w:p>
    <w:p w14:paraId="281A434E" w14:textId="5E7CEDEC"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38" w:history="1">
        <w:r w:rsidR="00363932" w:rsidRPr="00826F62">
          <w:rPr>
            <w:rStyle w:val="Hyperlink"/>
            <w:noProof/>
          </w:rPr>
          <w:t>3.1 Objectives for safety assessment</w:t>
        </w:r>
        <w:r w:rsidR="00363932">
          <w:rPr>
            <w:noProof/>
            <w:webHidden/>
          </w:rPr>
          <w:tab/>
        </w:r>
        <w:r w:rsidR="00363932">
          <w:rPr>
            <w:noProof/>
            <w:webHidden/>
          </w:rPr>
          <w:fldChar w:fldCharType="begin"/>
        </w:r>
        <w:r w:rsidR="00363932">
          <w:rPr>
            <w:noProof/>
            <w:webHidden/>
          </w:rPr>
          <w:instrText xml:space="preserve"> PAGEREF _Toc505255638 \h </w:instrText>
        </w:r>
        <w:r w:rsidR="00363932">
          <w:rPr>
            <w:noProof/>
            <w:webHidden/>
          </w:rPr>
        </w:r>
        <w:r w:rsidR="00363932">
          <w:rPr>
            <w:noProof/>
            <w:webHidden/>
          </w:rPr>
          <w:fldChar w:fldCharType="separate"/>
        </w:r>
        <w:r w:rsidR="00DE22C0">
          <w:rPr>
            <w:noProof/>
            <w:webHidden/>
          </w:rPr>
          <w:t>7</w:t>
        </w:r>
        <w:r w:rsidR="00363932">
          <w:rPr>
            <w:noProof/>
            <w:webHidden/>
          </w:rPr>
          <w:fldChar w:fldCharType="end"/>
        </w:r>
      </w:hyperlink>
    </w:p>
    <w:p w14:paraId="1294D869" w14:textId="614A6FCC"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39" w:history="1">
        <w:r w:rsidR="00363932" w:rsidRPr="00826F62">
          <w:rPr>
            <w:rStyle w:val="Hyperlink"/>
            <w:noProof/>
          </w:rPr>
          <w:t>3.2 History of use</w:t>
        </w:r>
        <w:r w:rsidR="00363932">
          <w:rPr>
            <w:noProof/>
            <w:webHidden/>
          </w:rPr>
          <w:tab/>
        </w:r>
        <w:r w:rsidR="00363932">
          <w:rPr>
            <w:noProof/>
            <w:webHidden/>
          </w:rPr>
          <w:fldChar w:fldCharType="begin"/>
        </w:r>
        <w:r w:rsidR="00363932">
          <w:rPr>
            <w:noProof/>
            <w:webHidden/>
          </w:rPr>
          <w:instrText xml:space="preserve"> PAGEREF _Toc505255639 \h </w:instrText>
        </w:r>
        <w:r w:rsidR="00363932">
          <w:rPr>
            <w:noProof/>
            <w:webHidden/>
          </w:rPr>
        </w:r>
        <w:r w:rsidR="00363932">
          <w:rPr>
            <w:noProof/>
            <w:webHidden/>
          </w:rPr>
          <w:fldChar w:fldCharType="separate"/>
        </w:r>
        <w:r w:rsidR="00DE22C0">
          <w:rPr>
            <w:noProof/>
            <w:webHidden/>
          </w:rPr>
          <w:t>7</w:t>
        </w:r>
        <w:r w:rsidR="00363932">
          <w:rPr>
            <w:noProof/>
            <w:webHidden/>
          </w:rPr>
          <w:fldChar w:fldCharType="end"/>
        </w:r>
      </w:hyperlink>
    </w:p>
    <w:p w14:paraId="733EFC26" w14:textId="17901BAC"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40" w:history="1">
        <w:r w:rsidR="00363932" w:rsidRPr="00826F62">
          <w:rPr>
            <w:rStyle w:val="Hyperlink"/>
            <w:noProof/>
          </w:rPr>
          <w:t>3.3 Characterisation of the genetic modification(s)</w:t>
        </w:r>
        <w:r w:rsidR="00363932">
          <w:rPr>
            <w:noProof/>
            <w:webHidden/>
          </w:rPr>
          <w:tab/>
        </w:r>
        <w:r w:rsidR="00363932">
          <w:rPr>
            <w:noProof/>
            <w:webHidden/>
          </w:rPr>
          <w:fldChar w:fldCharType="begin"/>
        </w:r>
        <w:r w:rsidR="00363932">
          <w:rPr>
            <w:noProof/>
            <w:webHidden/>
          </w:rPr>
          <w:instrText xml:space="preserve"> PAGEREF _Toc505255640 \h </w:instrText>
        </w:r>
        <w:r w:rsidR="00363932">
          <w:rPr>
            <w:noProof/>
            <w:webHidden/>
          </w:rPr>
        </w:r>
        <w:r w:rsidR="00363932">
          <w:rPr>
            <w:noProof/>
            <w:webHidden/>
          </w:rPr>
          <w:fldChar w:fldCharType="separate"/>
        </w:r>
        <w:r w:rsidR="00DE22C0">
          <w:rPr>
            <w:noProof/>
            <w:webHidden/>
          </w:rPr>
          <w:t>8</w:t>
        </w:r>
        <w:r w:rsidR="00363932">
          <w:rPr>
            <w:noProof/>
            <w:webHidden/>
          </w:rPr>
          <w:fldChar w:fldCharType="end"/>
        </w:r>
      </w:hyperlink>
    </w:p>
    <w:p w14:paraId="525C2CFF" w14:textId="38554A1B"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41" w:history="1">
        <w:r w:rsidR="00363932" w:rsidRPr="00826F62">
          <w:rPr>
            <w:rStyle w:val="Hyperlink"/>
            <w:noProof/>
          </w:rPr>
          <w:t>3.4 Safety of endo-1,4-β-xylanase</w:t>
        </w:r>
        <w:r w:rsidR="00363932">
          <w:rPr>
            <w:noProof/>
            <w:webHidden/>
          </w:rPr>
          <w:tab/>
        </w:r>
        <w:r w:rsidR="00363932">
          <w:rPr>
            <w:noProof/>
            <w:webHidden/>
          </w:rPr>
          <w:fldChar w:fldCharType="begin"/>
        </w:r>
        <w:r w:rsidR="00363932">
          <w:rPr>
            <w:noProof/>
            <w:webHidden/>
          </w:rPr>
          <w:instrText xml:space="preserve"> PAGEREF _Toc505255641 \h </w:instrText>
        </w:r>
        <w:r w:rsidR="00363932">
          <w:rPr>
            <w:noProof/>
            <w:webHidden/>
          </w:rPr>
        </w:r>
        <w:r w:rsidR="00363932">
          <w:rPr>
            <w:noProof/>
            <w:webHidden/>
          </w:rPr>
          <w:fldChar w:fldCharType="separate"/>
        </w:r>
        <w:r w:rsidR="00DE22C0">
          <w:rPr>
            <w:noProof/>
            <w:webHidden/>
          </w:rPr>
          <w:t>9</w:t>
        </w:r>
        <w:r w:rsidR="00363932">
          <w:rPr>
            <w:noProof/>
            <w:webHidden/>
          </w:rPr>
          <w:fldChar w:fldCharType="end"/>
        </w:r>
      </w:hyperlink>
    </w:p>
    <w:p w14:paraId="353721C2" w14:textId="5C4A2CAE" w:rsidR="00363932" w:rsidRDefault="00BA4E24">
      <w:pPr>
        <w:pStyle w:val="TOC3"/>
        <w:tabs>
          <w:tab w:val="right" w:leader="dot" w:pos="9060"/>
        </w:tabs>
        <w:rPr>
          <w:rFonts w:eastAsiaTheme="minorEastAsia" w:cstheme="minorBidi"/>
          <w:i w:val="0"/>
          <w:iCs w:val="0"/>
          <w:noProof/>
          <w:sz w:val="22"/>
          <w:szCs w:val="22"/>
          <w:lang w:val="en-NZ" w:eastAsia="en-NZ" w:bidi="ar-SA"/>
        </w:rPr>
      </w:pPr>
      <w:hyperlink w:anchor="_Toc505255642" w:history="1">
        <w:r w:rsidR="00363932" w:rsidRPr="00826F62">
          <w:rPr>
            <w:rStyle w:val="Hyperlink"/>
            <w:noProof/>
          </w:rPr>
          <w:t>3.5 Safety assessment conclusions</w:t>
        </w:r>
        <w:r w:rsidR="00363932">
          <w:rPr>
            <w:noProof/>
            <w:webHidden/>
          </w:rPr>
          <w:tab/>
        </w:r>
        <w:r w:rsidR="00363932">
          <w:rPr>
            <w:noProof/>
            <w:webHidden/>
          </w:rPr>
          <w:fldChar w:fldCharType="begin"/>
        </w:r>
        <w:r w:rsidR="00363932">
          <w:rPr>
            <w:noProof/>
            <w:webHidden/>
          </w:rPr>
          <w:instrText xml:space="preserve"> PAGEREF _Toc505255642 \h </w:instrText>
        </w:r>
        <w:r w:rsidR="00363932">
          <w:rPr>
            <w:noProof/>
            <w:webHidden/>
          </w:rPr>
        </w:r>
        <w:r w:rsidR="00363932">
          <w:rPr>
            <w:noProof/>
            <w:webHidden/>
          </w:rPr>
          <w:fldChar w:fldCharType="separate"/>
        </w:r>
        <w:r w:rsidR="00DE22C0">
          <w:rPr>
            <w:noProof/>
            <w:webHidden/>
          </w:rPr>
          <w:t>13</w:t>
        </w:r>
        <w:r w:rsidR="00363932">
          <w:rPr>
            <w:noProof/>
            <w:webHidden/>
          </w:rPr>
          <w:fldChar w:fldCharType="end"/>
        </w:r>
      </w:hyperlink>
    </w:p>
    <w:p w14:paraId="1F16D144" w14:textId="4EB44B64" w:rsidR="00363932" w:rsidRDefault="00BA4E24">
      <w:pPr>
        <w:pStyle w:val="TOC1"/>
        <w:tabs>
          <w:tab w:val="right" w:leader="dot" w:pos="9060"/>
        </w:tabs>
        <w:rPr>
          <w:rFonts w:eastAsiaTheme="minorEastAsia" w:cstheme="minorBidi"/>
          <w:b w:val="0"/>
          <w:bCs w:val="0"/>
          <w:caps w:val="0"/>
          <w:noProof/>
          <w:sz w:val="22"/>
          <w:szCs w:val="22"/>
          <w:lang w:val="en-NZ" w:eastAsia="en-NZ" w:bidi="ar-SA"/>
        </w:rPr>
      </w:pPr>
      <w:hyperlink w:anchor="_Toc505255643" w:history="1">
        <w:r w:rsidR="00363932" w:rsidRPr="00826F62">
          <w:rPr>
            <w:rStyle w:val="Hyperlink"/>
            <w:noProof/>
          </w:rPr>
          <w:t>References</w:t>
        </w:r>
        <w:r w:rsidR="00363932">
          <w:rPr>
            <w:noProof/>
            <w:webHidden/>
          </w:rPr>
          <w:tab/>
        </w:r>
        <w:r w:rsidR="00363932">
          <w:rPr>
            <w:noProof/>
            <w:webHidden/>
          </w:rPr>
          <w:fldChar w:fldCharType="begin"/>
        </w:r>
        <w:r w:rsidR="00363932">
          <w:rPr>
            <w:noProof/>
            <w:webHidden/>
          </w:rPr>
          <w:instrText xml:space="preserve"> PAGEREF _Toc505255643 \h </w:instrText>
        </w:r>
        <w:r w:rsidR="00363932">
          <w:rPr>
            <w:noProof/>
            <w:webHidden/>
          </w:rPr>
        </w:r>
        <w:r w:rsidR="00363932">
          <w:rPr>
            <w:noProof/>
            <w:webHidden/>
          </w:rPr>
          <w:fldChar w:fldCharType="separate"/>
        </w:r>
        <w:r w:rsidR="00DE22C0">
          <w:rPr>
            <w:noProof/>
            <w:webHidden/>
          </w:rPr>
          <w:t>14</w:t>
        </w:r>
        <w:r w:rsidR="00363932">
          <w:rPr>
            <w:noProof/>
            <w:webHidden/>
          </w:rPr>
          <w:fldChar w:fldCharType="end"/>
        </w:r>
      </w:hyperlink>
    </w:p>
    <w:p w14:paraId="15D23906" w14:textId="6750FAF2" w:rsidR="00562917" w:rsidRDefault="00326D85" w:rsidP="00051ED9">
      <w:r>
        <w:fldChar w:fldCharType="end"/>
      </w:r>
    </w:p>
    <w:p w14:paraId="3CE260CA" w14:textId="77777777" w:rsidR="00E066BA" w:rsidRDefault="00E066BA" w:rsidP="00051ED9"/>
    <w:p w14:paraId="53A7F568" w14:textId="77777777" w:rsidR="00051ED9" w:rsidRDefault="00562917" w:rsidP="00772BDC">
      <w:r w:rsidRPr="00E203C2">
        <w:br w:type="page"/>
      </w:r>
    </w:p>
    <w:p w14:paraId="184F9E13" w14:textId="3F166E9C" w:rsidR="00AC6EE5" w:rsidRPr="00680184" w:rsidRDefault="00680184" w:rsidP="00680184">
      <w:pPr>
        <w:pStyle w:val="FSCh2Part"/>
      </w:pPr>
      <w:bookmarkStart w:id="6" w:name="_Toc471740068"/>
      <w:bookmarkStart w:id="7" w:name="_Toc499282427"/>
      <w:bookmarkStart w:id="8" w:name="_Toc505255627"/>
      <w:bookmarkEnd w:id="6"/>
      <w:bookmarkEnd w:id="7"/>
      <w:r w:rsidRPr="00680184">
        <w:lastRenderedPageBreak/>
        <w:t>1 Introduction</w:t>
      </w:r>
      <w:bookmarkEnd w:id="8"/>
    </w:p>
    <w:p w14:paraId="00980F0F" w14:textId="50E124BB" w:rsidR="00AC6EE5" w:rsidRPr="0065343D" w:rsidRDefault="00AC6EE5" w:rsidP="00AC6EE5">
      <w:r w:rsidRPr="0065343D">
        <w:rPr>
          <w:lang w:eastAsia="en-AU" w:bidi="ar-SA"/>
        </w:rPr>
        <w:t xml:space="preserve">FSANZ received an application from </w:t>
      </w:r>
      <w:r w:rsidR="002E2590">
        <w:rPr>
          <w:lang w:eastAsia="en-AU" w:bidi="ar-SA"/>
        </w:rPr>
        <w:t xml:space="preserve">AB Enzymes </w:t>
      </w:r>
      <w:r w:rsidR="00475A57">
        <w:rPr>
          <w:lang w:eastAsia="en-AU" w:bidi="ar-SA"/>
        </w:rPr>
        <w:t>to amend</w:t>
      </w:r>
      <w:r w:rsidR="00BC00F3">
        <w:rPr>
          <w:lang w:eastAsia="en-AU" w:bidi="ar-SA"/>
        </w:rPr>
        <w:t xml:space="preserve"> Schedule 18 of the </w:t>
      </w:r>
      <w:r w:rsidR="00BC00F3" w:rsidRPr="00CB0819">
        <w:rPr>
          <w:i/>
          <w:lang w:eastAsia="en-AU"/>
        </w:rPr>
        <w:t>Australian New Zealand Food Standards Code</w:t>
      </w:r>
      <w:r w:rsidR="00BC00F3">
        <w:rPr>
          <w:lang w:eastAsia="en-AU" w:bidi="ar-SA"/>
        </w:rPr>
        <w:t xml:space="preserve"> (the Code)</w:t>
      </w:r>
      <w:r w:rsidR="00BC00F3" w:rsidRPr="0065343D">
        <w:rPr>
          <w:lang w:eastAsia="en-AU" w:bidi="ar-SA"/>
        </w:rPr>
        <w:t xml:space="preserve"> </w:t>
      </w:r>
      <w:r w:rsidRPr="0065343D">
        <w:rPr>
          <w:lang w:eastAsia="en-AU" w:bidi="ar-SA"/>
        </w:rPr>
        <w:t xml:space="preserve">for </w:t>
      </w:r>
      <w:r w:rsidR="00475A57">
        <w:rPr>
          <w:lang w:eastAsia="en-AU" w:bidi="ar-SA"/>
        </w:rPr>
        <w:t>e</w:t>
      </w:r>
      <w:r w:rsidR="002E2590" w:rsidRPr="002E2590">
        <w:rPr>
          <w:rFonts w:cs="Arial"/>
        </w:rPr>
        <w:t>ndo-1,4 (3)-β-xylanase</w:t>
      </w:r>
      <w:r w:rsidRPr="0065343D">
        <w:rPr>
          <w:lang w:eastAsia="en-AU" w:bidi="ar-SA"/>
        </w:rPr>
        <w:t xml:space="preserve"> (EC 3.</w:t>
      </w:r>
      <w:r>
        <w:rPr>
          <w:lang w:eastAsia="en-AU" w:bidi="ar-SA"/>
        </w:rPr>
        <w:t>2</w:t>
      </w:r>
      <w:r w:rsidRPr="0065343D">
        <w:rPr>
          <w:lang w:eastAsia="en-AU" w:bidi="ar-SA"/>
        </w:rPr>
        <w:t>.1.</w:t>
      </w:r>
      <w:r w:rsidR="002E2590">
        <w:rPr>
          <w:lang w:eastAsia="en-AU" w:bidi="ar-SA"/>
        </w:rPr>
        <w:t>8</w:t>
      </w:r>
      <w:r w:rsidRPr="0065343D">
        <w:rPr>
          <w:lang w:eastAsia="en-AU" w:bidi="ar-SA"/>
        </w:rPr>
        <w:t>)</w:t>
      </w:r>
      <w:r w:rsidR="00BC00F3">
        <w:rPr>
          <w:lang w:eastAsia="en-AU" w:bidi="ar-SA"/>
        </w:rPr>
        <w:t xml:space="preserve"> (</w:t>
      </w:r>
      <w:r w:rsidR="001D36E0">
        <w:rPr>
          <w:rFonts w:cs="Arial"/>
        </w:rPr>
        <w:t>endo-1,4-</w:t>
      </w:r>
      <w:r w:rsidR="00221CA3" w:rsidRPr="00221CA3">
        <w:rPr>
          <w:rFonts w:cs="Arial"/>
        </w:rPr>
        <w:t xml:space="preserve"> </w:t>
      </w:r>
      <w:r w:rsidR="00221CA3" w:rsidRPr="002E2590">
        <w:rPr>
          <w:rFonts w:cs="Arial"/>
        </w:rPr>
        <w:t>β</w:t>
      </w:r>
      <w:r w:rsidR="001D36E0">
        <w:rPr>
          <w:rFonts w:cs="Arial"/>
        </w:rPr>
        <w:t>-xylanase</w:t>
      </w:r>
      <w:r w:rsidR="00BC00F3">
        <w:rPr>
          <w:lang w:eastAsia="en-AU" w:bidi="ar-SA"/>
        </w:rPr>
        <w:t>)</w:t>
      </w:r>
      <w:r w:rsidR="00951B4B">
        <w:rPr>
          <w:lang w:eastAsia="en-AU" w:bidi="ar-SA"/>
        </w:rPr>
        <w:t xml:space="preserve"> as a processing aid</w:t>
      </w:r>
      <w:r w:rsidR="00BC00F3">
        <w:rPr>
          <w:lang w:eastAsia="en-AU" w:bidi="ar-SA"/>
        </w:rPr>
        <w:t xml:space="preserve">. </w:t>
      </w:r>
      <w:r w:rsidRPr="0065343D">
        <w:rPr>
          <w:lang w:eastAsia="en-AU" w:bidi="ar-SA"/>
        </w:rPr>
        <w:t xml:space="preserve">The enzyme is </w:t>
      </w:r>
      <w:r w:rsidR="00BC00F3">
        <w:rPr>
          <w:lang w:eastAsia="en-AU" w:bidi="ar-SA"/>
        </w:rPr>
        <w:t>obtained from</w:t>
      </w:r>
      <w:r w:rsidR="00BC00F3" w:rsidRPr="0065343D">
        <w:rPr>
          <w:lang w:eastAsia="en-AU" w:bidi="ar-SA"/>
        </w:rPr>
        <w:t xml:space="preserve"> </w:t>
      </w:r>
      <w:r w:rsidRPr="0065343D">
        <w:rPr>
          <w:lang w:eastAsia="en-AU" w:bidi="ar-SA"/>
        </w:rPr>
        <w:t xml:space="preserve">a </w:t>
      </w:r>
      <w:r>
        <w:rPr>
          <w:lang w:eastAsia="en-AU" w:bidi="ar-SA"/>
        </w:rPr>
        <w:t>genetically modified</w:t>
      </w:r>
      <w:r w:rsidRPr="0065343D">
        <w:rPr>
          <w:lang w:eastAsia="en-AU" w:bidi="ar-SA"/>
        </w:rPr>
        <w:t xml:space="preserve"> strain</w:t>
      </w:r>
      <w:r w:rsidR="00BC00F3">
        <w:rPr>
          <w:lang w:eastAsia="en-AU" w:bidi="ar-SA"/>
        </w:rPr>
        <w:t xml:space="preserve"> of </w:t>
      </w:r>
      <w:r w:rsidR="002E2590" w:rsidRPr="002E2590">
        <w:rPr>
          <w:i/>
          <w:lang w:eastAsia="en-AU" w:bidi="ar-SA"/>
        </w:rPr>
        <w:t>T</w:t>
      </w:r>
      <w:r w:rsidR="00363932">
        <w:rPr>
          <w:i/>
          <w:lang w:eastAsia="en-AU" w:bidi="ar-SA"/>
        </w:rPr>
        <w:t>.</w:t>
      </w:r>
      <w:r w:rsidR="002E2590" w:rsidRPr="002E2590">
        <w:rPr>
          <w:i/>
          <w:lang w:eastAsia="en-AU" w:bidi="ar-SA"/>
        </w:rPr>
        <w:t xml:space="preserve"> reesei</w:t>
      </w:r>
      <w:r w:rsidDel="00BC00F3">
        <w:rPr>
          <w:i/>
          <w:lang w:eastAsia="en-AU"/>
        </w:rPr>
        <w:t xml:space="preserve"> </w:t>
      </w:r>
      <w:r>
        <w:rPr>
          <w:lang w:eastAsia="en-AU" w:bidi="ar-SA"/>
        </w:rPr>
        <w:t xml:space="preserve">expressing a </w:t>
      </w:r>
      <w:r w:rsidR="009272DE">
        <w:rPr>
          <w:lang w:eastAsia="en-AU" w:bidi="ar-SA"/>
        </w:rPr>
        <w:t xml:space="preserve">modified </w:t>
      </w:r>
      <w:r w:rsidR="002E2590">
        <w:rPr>
          <w:rFonts w:cs="Arial"/>
          <w:color w:val="000000" w:themeColor="text1"/>
        </w:rPr>
        <w:t>xylanase</w:t>
      </w:r>
      <w:r>
        <w:rPr>
          <w:rFonts w:cs="Arial"/>
          <w:color w:val="000000" w:themeColor="text1"/>
        </w:rPr>
        <w:t xml:space="preserve"> gene from </w:t>
      </w:r>
      <w:r w:rsidR="00363932" w:rsidRPr="002E2590">
        <w:rPr>
          <w:rFonts w:cs="Arial"/>
          <w:i/>
          <w:color w:val="000000" w:themeColor="text1"/>
        </w:rPr>
        <w:t>T</w:t>
      </w:r>
      <w:r w:rsidR="00363932">
        <w:rPr>
          <w:rFonts w:cs="Arial"/>
          <w:i/>
          <w:color w:val="000000" w:themeColor="text1"/>
        </w:rPr>
        <w:t>.</w:t>
      </w:r>
      <w:r w:rsidR="00363932" w:rsidRPr="002E2590">
        <w:rPr>
          <w:rFonts w:cs="Arial"/>
          <w:i/>
          <w:color w:val="000000" w:themeColor="text1"/>
        </w:rPr>
        <w:t xml:space="preserve"> </w:t>
      </w:r>
      <w:r w:rsidR="002E2590" w:rsidRPr="002E2590">
        <w:rPr>
          <w:rFonts w:cs="Arial"/>
          <w:i/>
          <w:color w:val="000000" w:themeColor="text1"/>
        </w:rPr>
        <w:t>flexuosa</w:t>
      </w:r>
      <w:r w:rsidR="006E0740">
        <w:rPr>
          <w:rFonts w:cs="Arial"/>
          <w:i/>
          <w:color w:val="000000" w:themeColor="text1"/>
        </w:rPr>
        <w:t xml:space="preserve"> (</w:t>
      </w:r>
      <w:r w:rsidR="006E0740" w:rsidRPr="006E0740">
        <w:rPr>
          <w:rFonts w:cs="Arial"/>
          <w:color w:val="000000" w:themeColor="text1"/>
        </w:rPr>
        <w:t>previously known as</w:t>
      </w:r>
      <w:r w:rsidR="006E0740">
        <w:rPr>
          <w:rFonts w:cs="Arial"/>
          <w:color w:val="000000" w:themeColor="text1"/>
        </w:rPr>
        <w:t xml:space="preserve"> </w:t>
      </w:r>
      <w:r w:rsidR="006E0740">
        <w:rPr>
          <w:rFonts w:cs="Arial"/>
          <w:i/>
          <w:color w:val="000000" w:themeColor="text1"/>
        </w:rPr>
        <w:t>Nonomuraea flexuosa)</w:t>
      </w:r>
      <w:r w:rsidRPr="0065343D">
        <w:rPr>
          <w:lang w:eastAsia="en-AU" w:bidi="ar-SA"/>
        </w:rPr>
        <w:t xml:space="preserve">. </w:t>
      </w:r>
    </w:p>
    <w:p w14:paraId="05A28F0E" w14:textId="77777777" w:rsidR="00CE2BE1" w:rsidRDefault="00CE2BE1" w:rsidP="00AC6EE5">
      <w:pPr>
        <w:rPr>
          <w:lang w:eastAsia="en-AU" w:bidi="ar-SA"/>
        </w:rPr>
      </w:pPr>
    </w:p>
    <w:p w14:paraId="64865F8E" w14:textId="6DAC50BF" w:rsidR="00AC6EE5" w:rsidRDefault="006E0264" w:rsidP="00AC6EE5">
      <w:pPr>
        <w:rPr>
          <w:lang w:eastAsia="en-AU" w:bidi="ar-SA"/>
        </w:rPr>
      </w:pPr>
      <w:r>
        <w:rPr>
          <w:lang w:eastAsia="en-AU" w:bidi="ar-SA"/>
        </w:rPr>
        <w:t xml:space="preserve">Arabinoxylans are the main component of hemicellulose </w:t>
      </w:r>
      <w:r w:rsidR="00800518">
        <w:rPr>
          <w:lang w:eastAsia="en-AU" w:bidi="ar-SA"/>
        </w:rPr>
        <w:t>found in</w:t>
      </w:r>
      <w:r>
        <w:rPr>
          <w:lang w:eastAsia="en-AU" w:bidi="ar-SA"/>
        </w:rPr>
        <w:t xml:space="preserve"> </w:t>
      </w:r>
      <w:r w:rsidR="00791E97">
        <w:rPr>
          <w:lang w:eastAsia="en-AU" w:bidi="ar-SA"/>
        </w:rPr>
        <w:t xml:space="preserve">plant </w:t>
      </w:r>
      <w:r w:rsidR="00A7051C">
        <w:rPr>
          <w:lang w:eastAsia="en-AU" w:bidi="ar-SA"/>
        </w:rPr>
        <w:t xml:space="preserve">cell walls. </w:t>
      </w:r>
      <w:r w:rsidR="00DE5BDF">
        <w:rPr>
          <w:lang w:eastAsia="en-AU" w:bidi="ar-SA"/>
        </w:rPr>
        <w:t xml:space="preserve">Addition of </w:t>
      </w:r>
      <w:r w:rsidR="00F12EAB">
        <w:rPr>
          <w:lang w:eastAsia="en-AU" w:bidi="ar-SA"/>
        </w:rPr>
        <w:t xml:space="preserve">the </w:t>
      </w:r>
      <w:r w:rsidR="001D36E0">
        <w:rPr>
          <w:rFonts w:cs="Arial"/>
        </w:rPr>
        <w:t>endo-1,4-</w:t>
      </w:r>
      <w:r w:rsidR="00212624" w:rsidRPr="00212624">
        <w:rPr>
          <w:rFonts w:cs="Arial"/>
        </w:rPr>
        <w:t xml:space="preserve"> </w:t>
      </w:r>
      <w:r w:rsidR="00212624" w:rsidRPr="002E2590">
        <w:rPr>
          <w:rFonts w:cs="Arial"/>
        </w:rPr>
        <w:t>β</w:t>
      </w:r>
      <w:r w:rsidR="00212624">
        <w:rPr>
          <w:rFonts w:cs="Arial"/>
        </w:rPr>
        <w:t>-</w:t>
      </w:r>
      <w:r w:rsidR="001D36E0">
        <w:rPr>
          <w:rFonts w:cs="Arial"/>
        </w:rPr>
        <w:t>xylanase</w:t>
      </w:r>
      <w:r w:rsidR="00AD52C2">
        <w:rPr>
          <w:lang w:eastAsia="en-AU" w:bidi="ar-SA"/>
        </w:rPr>
        <w:t xml:space="preserve"> </w:t>
      </w:r>
      <w:r w:rsidR="00094535">
        <w:rPr>
          <w:lang w:eastAsia="en-AU" w:bidi="ar-SA"/>
        </w:rPr>
        <w:t>enzyme to</w:t>
      </w:r>
      <w:r w:rsidR="00951B4B">
        <w:rPr>
          <w:lang w:eastAsia="en-AU" w:bidi="ar-SA"/>
        </w:rPr>
        <w:t xml:space="preserve"> plant based foods </w:t>
      </w:r>
      <w:r w:rsidR="00071095">
        <w:rPr>
          <w:lang w:eastAsia="en-AU" w:bidi="ar-SA"/>
        </w:rPr>
        <w:t>catalyse</w:t>
      </w:r>
      <w:r w:rsidR="0098358F">
        <w:rPr>
          <w:lang w:eastAsia="en-AU" w:bidi="ar-SA"/>
        </w:rPr>
        <w:t>s</w:t>
      </w:r>
      <w:r w:rsidR="00071095">
        <w:rPr>
          <w:lang w:eastAsia="en-AU" w:bidi="ar-SA"/>
        </w:rPr>
        <w:t xml:space="preserve"> the hydrolysis of xylosi</w:t>
      </w:r>
      <w:r w:rsidR="002002D5">
        <w:rPr>
          <w:lang w:eastAsia="en-AU" w:bidi="ar-SA"/>
        </w:rPr>
        <w:t xml:space="preserve">dic linkages </w:t>
      </w:r>
      <w:r w:rsidR="00E84917">
        <w:rPr>
          <w:lang w:eastAsia="en-AU" w:bidi="ar-SA"/>
        </w:rPr>
        <w:t xml:space="preserve">in </w:t>
      </w:r>
      <w:r w:rsidR="00071095">
        <w:rPr>
          <w:lang w:eastAsia="en-AU" w:bidi="ar-SA"/>
        </w:rPr>
        <w:t>arabinoxylan</w:t>
      </w:r>
      <w:r w:rsidR="002002D5">
        <w:rPr>
          <w:lang w:eastAsia="en-AU" w:bidi="ar-SA"/>
        </w:rPr>
        <w:t>s</w:t>
      </w:r>
      <w:r w:rsidR="00071095">
        <w:rPr>
          <w:lang w:eastAsia="en-AU" w:bidi="ar-SA"/>
        </w:rPr>
        <w:t xml:space="preserve"> </w:t>
      </w:r>
      <w:r w:rsidR="00E84917">
        <w:rPr>
          <w:lang w:eastAsia="en-AU" w:bidi="ar-SA"/>
        </w:rPr>
        <w:t>(</w:t>
      </w:r>
      <w:r w:rsidR="00D24EA2">
        <w:rPr>
          <w:lang w:eastAsia="en-AU" w:bidi="ar-SA"/>
        </w:rPr>
        <w:t xml:space="preserve">and other </w:t>
      </w:r>
      <w:r w:rsidR="00D24EA2" w:rsidRPr="002E2590">
        <w:rPr>
          <w:rFonts w:cs="Arial"/>
        </w:rPr>
        <w:t>β</w:t>
      </w:r>
      <w:r w:rsidR="00D24EA2">
        <w:rPr>
          <w:rFonts w:cs="Arial"/>
        </w:rPr>
        <w:t>-1,4-linked xylans</w:t>
      </w:r>
      <w:r w:rsidR="00E84917">
        <w:rPr>
          <w:lang w:eastAsia="en-AU" w:bidi="ar-SA"/>
        </w:rPr>
        <w:t>)</w:t>
      </w:r>
      <w:r w:rsidR="00951B4B">
        <w:rPr>
          <w:lang w:eastAsia="en-AU" w:bidi="ar-SA"/>
        </w:rPr>
        <w:t xml:space="preserve">. This results </w:t>
      </w:r>
      <w:r w:rsidR="00D24EA2">
        <w:rPr>
          <w:lang w:eastAsia="en-AU" w:bidi="ar-SA"/>
        </w:rPr>
        <w:t xml:space="preserve">in </w:t>
      </w:r>
      <w:r w:rsidR="00951B4B">
        <w:rPr>
          <w:lang w:eastAsia="en-AU" w:bidi="ar-SA"/>
        </w:rPr>
        <w:t xml:space="preserve">the </w:t>
      </w:r>
      <w:r w:rsidR="00791E97">
        <w:rPr>
          <w:lang w:eastAsia="en-AU" w:bidi="ar-SA"/>
        </w:rPr>
        <w:t xml:space="preserve">depolymerisation of arabinoxylans into </w:t>
      </w:r>
      <w:r w:rsidR="00071095">
        <w:rPr>
          <w:lang w:eastAsia="en-AU" w:bidi="ar-SA"/>
        </w:rPr>
        <w:t xml:space="preserve">smaller oligosaccharides. </w:t>
      </w:r>
    </w:p>
    <w:p w14:paraId="3700D7C7" w14:textId="0993B802" w:rsidR="002002D5" w:rsidRDefault="002002D5" w:rsidP="00AC6EE5">
      <w:pPr>
        <w:rPr>
          <w:lang w:eastAsia="en-AU" w:bidi="ar-SA"/>
        </w:rPr>
      </w:pPr>
    </w:p>
    <w:p w14:paraId="134DA8C1" w14:textId="3B114118" w:rsidR="002002D5" w:rsidRDefault="007D788A" w:rsidP="00AC6EE5">
      <w:pPr>
        <w:rPr>
          <w:lang w:eastAsia="en-AU" w:bidi="ar-SA"/>
        </w:rPr>
      </w:pPr>
      <w:r>
        <w:rPr>
          <w:lang w:eastAsia="en-AU" w:bidi="ar-SA"/>
        </w:rPr>
        <w:t xml:space="preserve">The main benefits to food manufacturers </w:t>
      </w:r>
      <w:r w:rsidR="00951B4B">
        <w:rPr>
          <w:lang w:eastAsia="en-AU" w:bidi="ar-SA"/>
        </w:rPr>
        <w:t>include</w:t>
      </w:r>
      <w:r w:rsidR="005E3F90">
        <w:rPr>
          <w:lang w:eastAsia="en-AU" w:bidi="ar-SA"/>
        </w:rPr>
        <w:t xml:space="preserve"> improvements to functional properties </w:t>
      </w:r>
      <w:r w:rsidR="00CC5883">
        <w:rPr>
          <w:lang w:eastAsia="en-AU" w:bidi="ar-SA"/>
        </w:rPr>
        <w:t xml:space="preserve">explained in section 2.6 </w:t>
      </w:r>
      <w:r w:rsidR="005E3F90">
        <w:rPr>
          <w:lang w:eastAsia="en-AU" w:bidi="ar-SA"/>
        </w:rPr>
        <w:t xml:space="preserve">and ultimately </w:t>
      </w:r>
      <w:r w:rsidR="002002D5">
        <w:rPr>
          <w:lang w:eastAsia="en-AU" w:bidi="ar-SA"/>
        </w:rPr>
        <w:t xml:space="preserve">consistent </w:t>
      </w:r>
      <w:r w:rsidR="005E3F90">
        <w:rPr>
          <w:lang w:eastAsia="en-AU" w:bidi="ar-SA"/>
        </w:rPr>
        <w:t xml:space="preserve">product </w:t>
      </w:r>
      <w:r w:rsidR="002002D5">
        <w:rPr>
          <w:lang w:eastAsia="en-AU" w:bidi="ar-SA"/>
        </w:rPr>
        <w:t xml:space="preserve">quality and production efficiencies. </w:t>
      </w:r>
      <w:r w:rsidR="00211F0F">
        <w:rPr>
          <w:lang w:eastAsia="en-AU" w:bidi="ar-SA"/>
        </w:rPr>
        <w:t xml:space="preserve">The </w:t>
      </w:r>
      <w:r w:rsidR="00211F0F">
        <w:rPr>
          <w:rFonts w:cs="Arial"/>
        </w:rPr>
        <w:t>endo-1,4-</w:t>
      </w:r>
      <w:r w:rsidR="00211F0F" w:rsidRPr="00221CA3">
        <w:rPr>
          <w:rFonts w:cs="Arial"/>
        </w:rPr>
        <w:t xml:space="preserve"> </w:t>
      </w:r>
      <w:r w:rsidR="00211F0F" w:rsidRPr="002E2590">
        <w:rPr>
          <w:rFonts w:cs="Arial"/>
        </w:rPr>
        <w:t>β</w:t>
      </w:r>
      <w:r w:rsidR="00211F0F">
        <w:rPr>
          <w:rFonts w:cs="Arial"/>
        </w:rPr>
        <w:t>-xylanase</w:t>
      </w:r>
      <w:r w:rsidR="00211F0F">
        <w:rPr>
          <w:lang w:eastAsia="en-AU" w:bidi="ar-SA"/>
        </w:rPr>
        <w:t xml:space="preserve"> enzyme is </w:t>
      </w:r>
      <w:r w:rsidR="00951B4B">
        <w:rPr>
          <w:lang w:eastAsia="en-AU" w:bidi="ar-SA"/>
        </w:rPr>
        <w:t xml:space="preserve">intended </w:t>
      </w:r>
      <w:r w:rsidR="00211F0F">
        <w:rPr>
          <w:lang w:eastAsia="en-AU" w:bidi="ar-SA"/>
        </w:rPr>
        <w:t xml:space="preserve">for use </w:t>
      </w:r>
      <w:r w:rsidR="00951B4B">
        <w:rPr>
          <w:lang w:eastAsia="en-AU" w:bidi="ar-SA"/>
        </w:rPr>
        <w:t xml:space="preserve">at levels of good manufacturing practice </w:t>
      </w:r>
      <w:r w:rsidR="00C24D62">
        <w:rPr>
          <w:lang w:eastAsia="en-AU" w:bidi="ar-SA"/>
        </w:rPr>
        <w:t xml:space="preserve">(GMP) </w:t>
      </w:r>
      <w:r w:rsidR="00211F0F">
        <w:rPr>
          <w:lang w:eastAsia="en-AU" w:bidi="ar-SA"/>
        </w:rPr>
        <w:t xml:space="preserve">in </w:t>
      </w:r>
      <w:r w:rsidR="001379C1">
        <w:rPr>
          <w:lang w:eastAsia="en-AU" w:bidi="ar-SA"/>
        </w:rPr>
        <w:t xml:space="preserve">the </w:t>
      </w:r>
      <w:r w:rsidR="001B7FE1">
        <w:rPr>
          <w:lang w:eastAsia="en-AU" w:bidi="ar-SA"/>
        </w:rPr>
        <w:t xml:space="preserve">manufacture and/or processing </w:t>
      </w:r>
      <w:r w:rsidR="001379C1">
        <w:rPr>
          <w:lang w:eastAsia="en-AU" w:bidi="ar-SA"/>
        </w:rPr>
        <w:t xml:space="preserve">of </w:t>
      </w:r>
      <w:r w:rsidR="00211F0F">
        <w:t xml:space="preserve">bakery products, cereal products, </w:t>
      </w:r>
      <w:r w:rsidR="003A0AE0">
        <w:t xml:space="preserve">grain, </w:t>
      </w:r>
      <w:r w:rsidR="00F12EAB">
        <w:t>cereal based beverages</w:t>
      </w:r>
      <w:r w:rsidR="001B7FE1">
        <w:t xml:space="preserve"> (including beer)</w:t>
      </w:r>
      <w:r w:rsidR="00791E97">
        <w:t xml:space="preserve"> </w:t>
      </w:r>
      <w:r w:rsidR="00211F0F">
        <w:t xml:space="preserve">and </w:t>
      </w:r>
      <w:r w:rsidR="001B7FE1">
        <w:t xml:space="preserve">potable </w:t>
      </w:r>
      <w:r w:rsidR="00211F0F">
        <w:t>alcohol</w:t>
      </w:r>
      <w:r w:rsidR="00211F0F">
        <w:rPr>
          <w:lang w:eastAsia="en-AU" w:bidi="ar-SA"/>
        </w:rPr>
        <w:t xml:space="preserve">. </w:t>
      </w:r>
      <w:r w:rsidR="00FE1CE1">
        <w:rPr>
          <w:lang w:eastAsia="en-AU" w:bidi="ar-SA"/>
        </w:rPr>
        <w:t xml:space="preserve">AB Enzymes </w:t>
      </w:r>
      <w:r w:rsidR="006A3A0C">
        <w:rPr>
          <w:lang w:eastAsia="en-AU" w:bidi="ar-SA"/>
        </w:rPr>
        <w:t>have also provided</w:t>
      </w:r>
      <w:r w:rsidR="00FE1CE1">
        <w:rPr>
          <w:lang w:eastAsia="en-AU" w:bidi="ar-SA"/>
        </w:rPr>
        <w:t xml:space="preserve"> recommended use levels</w:t>
      </w:r>
      <w:r w:rsidR="006A3A0C">
        <w:rPr>
          <w:lang w:eastAsia="en-AU" w:bidi="ar-SA"/>
        </w:rPr>
        <w:t xml:space="preserve"> for various food </w:t>
      </w:r>
      <w:r w:rsidR="004B024F">
        <w:rPr>
          <w:lang w:eastAsia="en-AU" w:bidi="ar-SA"/>
        </w:rPr>
        <w:t>applications</w:t>
      </w:r>
      <w:r w:rsidR="00FE1CE1">
        <w:rPr>
          <w:lang w:eastAsia="en-AU" w:bidi="ar-SA"/>
        </w:rPr>
        <w:t>.</w:t>
      </w:r>
    </w:p>
    <w:p w14:paraId="5397B260" w14:textId="2A1C783C" w:rsidR="006F0371" w:rsidRDefault="006F0371" w:rsidP="00AC6EE5">
      <w:pPr>
        <w:rPr>
          <w:lang w:eastAsia="en-AU" w:bidi="ar-SA"/>
        </w:rPr>
      </w:pPr>
    </w:p>
    <w:p w14:paraId="03601565" w14:textId="43D38F51" w:rsidR="00AC6EE5" w:rsidRPr="00FE377D" w:rsidRDefault="006F0371" w:rsidP="00FE377D">
      <w:r>
        <w:rPr>
          <w:lang w:eastAsia="en-AU" w:bidi="ar-SA"/>
        </w:rPr>
        <w:t xml:space="preserve">The </w:t>
      </w:r>
      <w:r w:rsidR="001D36E0">
        <w:rPr>
          <w:rFonts w:cs="Arial"/>
        </w:rPr>
        <w:t>endo-</w:t>
      </w:r>
      <w:r w:rsidR="00CB0819">
        <w:rPr>
          <w:rFonts w:cs="Arial"/>
        </w:rPr>
        <w:t>1,4-</w:t>
      </w:r>
      <w:r w:rsidR="001D36E0" w:rsidRPr="00B12FDC">
        <w:rPr>
          <w:rFonts w:cs="Arial"/>
        </w:rPr>
        <w:t xml:space="preserve"> </w:t>
      </w:r>
      <w:r w:rsidR="001D36E0" w:rsidRPr="002E2590">
        <w:rPr>
          <w:rFonts w:cs="Arial"/>
        </w:rPr>
        <w:t>β</w:t>
      </w:r>
      <w:r w:rsidR="001D36E0">
        <w:rPr>
          <w:rFonts w:cs="Arial"/>
        </w:rPr>
        <w:t>-xylanase</w:t>
      </w:r>
      <w:r>
        <w:rPr>
          <w:lang w:eastAsia="en-AU" w:bidi="ar-SA"/>
        </w:rPr>
        <w:t xml:space="preserve"> enzyme has been approved for use in France </w:t>
      </w:r>
      <w:r w:rsidR="008E1A1B">
        <w:rPr>
          <w:lang w:eastAsia="en-AU" w:bidi="ar-SA"/>
        </w:rPr>
        <w:t xml:space="preserve">(ANSES 2015) </w:t>
      </w:r>
      <w:r>
        <w:rPr>
          <w:lang w:eastAsia="en-AU" w:bidi="ar-SA"/>
        </w:rPr>
        <w:t xml:space="preserve">and </w:t>
      </w:r>
      <w:r w:rsidR="00880392">
        <w:rPr>
          <w:lang w:eastAsia="en-AU" w:bidi="ar-SA"/>
        </w:rPr>
        <w:t>is Generally Recogni</w:t>
      </w:r>
      <w:r w:rsidR="001379C1">
        <w:rPr>
          <w:lang w:eastAsia="en-AU" w:bidi="ar-SA"/>
        </w:rPr>
        <w:t>z</w:t>
      </w:r>
      <w:r w:rsidR="00880392">
        <w:rPr>
          <w:lang w:eastAsia="en-AU" w:bidi="ar-SA"/>
        </w:rPr>
        <w:t xml:space="preserve">ed as Safe (GRAS) in the </w:t>
      </w:r>
      <w:r>
        <w:rPr>
          <w:lang w:eastAsia="en-AU" w:bidi="ar-SA"/>
        </w:rPr>
        <w:t>USA (</w:t>
      </w:r>
      <w:r w:rsidR="008E1A1B">
        <w:rPr>
          <w:lang w:eastAsia="en-AU" w:bidi="ar-SA"/>
        </w:rPr>
        <w:t xml:space="preserve">FDA </w:t>
      </w:r>
      <w:r w:rsidR="00972135">
        <w:rPr>
          <w:lang w:eastAsia="en-AU" w:bidi="ar-SA"/>
        </w:rPr>
        <w:t>2016</w:t>
      </w:r>
      <w:r>
        <w:rPr>
          <w:lang w:eastAsia="en-AU" w:bidi="ar-SA"/>
        </w:rPr>
        <w:t xml:space="preserve">). </w:t>
      </w:r>
    </w:p>
    <w:p w14:paraId="7D6DFA7E" w14:textId="77777777" w:rsidR="00A7156D" w:rsidRPr="00652D6B" w:rsidRDefault="00AC6EE5" w:rsidP="00652D6B">
      <w:pPr>
        <w:pStyle w:val="FSCh2Part"/>
        <w:ind w:left="720" w:hanging="720"/>
        <w:rPr>
          <w:szCs w:val="28"/>
        </w:rPr>
      </w:pPr>
      <w:bookmarkStart w:id="9" w:name="_Toc471740070"/>
      <w:bookmarkStart w:id="10" w:name="_Toc499282429"/>
      <w:bookmarkStart w:id="11" w:name="_Toc505255628"/>
      <w:r w:rsidRPr="00652D6B">
        <w:rPr>
          <w:szCs w:val="28"/>
        </w:rPr>
        <w:t>2</w:t>
      </w:r>
      <w:r w:rsidRPr="00652D6B">
        <w:rPr>
          <w:szCs w:val="28"/>
        </w:rPr>
        <w:tab/>
        <w:t>Food technology assessment</w:t>
      </w:r>
      <w:bookmarkStart w:id="12" w:name="_Toc471740072"/>
      <w:bookmarkEnd w:id="9"/>
      <w:bookmarkEnd w:id="10"/>
      <w:bookmarkEnd w:id="11"/>
    </w:p>
    <w:p w14:paraId="7ED66CA8" w14:textId="489EFF1C" w:rsidR="00F624BA" w:rsidRPr="00D67005" w:rsidRDefault="00F624BA" w:rsidP="00D67005">
      <w:pPr>
        <w:pStyle w:val="FSCh3Standard"/>
      </w:pPr>
      <w:bookmarkStart w:id="13" w:name="_Toc505255629"/>
      <w:bookmarkStart w:id="14" w:name="_Toc499282430"/>
      <w:r>
        <w:t>2.1</w:t>
      </w:r>
      <w:r w:rsidR="00A61B6C">
        <w:t xml:space="preserve"> </w:t>
      </w:r>
      <w:r>
        <w:t>Objectives of the food technology assessment</w:t>
      </w:r>
      <w:bookmarkEnd w:id="13"/>
    </w:p>
    <w:p w14:paraId="1F524C66" w14:textId="53D32F87" w:rsidR="00F624BA" w:rsidRPr="00D02B85" w:rsidRDefault="00F624BA" w:rsidP="00D02B85">
      <w:pPr>
        <w:rPr>
          <w:lang w:eastAsia="en-AU" w:bidi="ar-SA"/>
        </w:rPr>
      </w:pPr>
      <w:r w:rsidRPr="00F87D40">
        <w:rPr>
          <w:lang w:eastAsia="en-AU" w:bidi="ar-SA"/>
        </w:rPr>
        <w:t xml:space="preserve">The objectives of this </w:t>
      </w:r>
      <w:r>
        <w:rPr>
          <w:lang w:eastAsia="en-AU" w:bidi="ar-SA"/>
        </w:rPr>
        <w:t xml:space="preserve">food technology assessment are to </w:t>
      </w:r>
      <w:r w:rsidRPr="00F87D40">
        <w:t>determ</w:t>
      </w:r>
      <w:r w:rsidRPr="00DE4BBE">
        <w:t xml:space="preserve">ine whether the proposed </w:t>
      </w:r>
      <w:r>
        <w:t xml:space="preserve">technological </w:t>
      </w:r>
      <w:r w:rsidRPr="00DE4BBE">
        <w:t xml:space="preserve">purpose is clearly stated and that the enzyme achieves its technological </w:t>
      </w:r>
      <w:r>
        <w:t>purpose</w:t>
      </w:r>
      <w:r w:rsidRPr="00DE4BBE">
        <w:t xml:space="preserve"> in the </w:t>
      </w:r>
      <w:r w:rsidR="001D4FF3">
        <w:t>form and quantity</w:t>
      </w:r>
      <w:r w:rsidRPr="00DE4BBE">
        <w:t xml:space="preserve"> proposed</w:t>
      </w:r>
      <w:r>
        <w:t xml:space="preserve"> for its use as a processing aid (enzyme). </w:t>
      </w:r>
    </w:p>
    <w:p w14:paraId="25B3D997" w14:textId="1FE676A7" w:rsidR="00AC6EE5" w:rsidRPr="00D67005" w:rsidRDefault="00AC6EE5" w:rsidP="00D67005">
      <w:pPr>
        <w:pStyle w:val="FSCh3Standard"/>
      </w:pPr>
      <w:bookmarkStart w:id="15" w:name="_Toc505255630"/>
      <w:r w:rsidRPr="00A362AC">
        <w:t>2.</w:t>
      </w:r>
      <w:r w:rsidR="00F624BA">
        <w:t>2</w:t>
      </w:r>
      <w:r w:rsidR="00F81CB0">
        <w:t xml:space="preserve"> </w:t>
      </w:r>
      <w:r w:rsidRPr="00A362AC">
        <w:t>Identity of the enzyme</w:t>
      </w:r>
      <w:bookmarkEnd w:id="12"/>
      <w:bookmarkEnd w:id="14"/>
      <w:bookmarkEnd w:id="15"/>
    </w:p>
    <w:p w14:paraId="387957CC" w14:textId="7BC77CE0" w:rsidR="0075550B" w:rsidRDefault="00B12FDC" w:rsidP="0075550B">
      <w:pPr>
        <w:rPr>
          <w:lang w:eastAsia="en-AU" w:bidi="ar-SA"/>
        </w:rPr>
      </w:pPr>
      <w:r>
        <w:rPr>
          <w:lang w:eastAsia="en-AU" w:bidi="ar-SA"/>
        </w:rPr>
        <w:t xml:space="preserve">Information regarding the identity of the enzyme included in the </w:t>
      </w:r>
      <w:r w:rsidR="005D1C87">
        <w:rPr>
          <w:lang w:eastAsia="en-AU" w:bidi="ar-SA"/>
        </w:rPr>
        <w:t>a</w:t>
      </w:r>
      <w:r>
        <w:rPr>
          <w:lang w:eastAsia="en-AU" w:bidi="ar-SA"/>
        </w:rPr>
        <w:t xml:space="preserve">pplication has been verified using an appropriate enzyme nomenclature reference (IUBMB </w:t>
      </w:r>
      <w:r w:rsidR="00913BB5">
        <w:rPr>
          <w:lang w:eastAsia="en-AU" w:bidi="ar-SA"/>
        </w:rPr>
        <w:t>2017</w:t>
      </w:r>
      <w:r>
        <w:rPr>
          <w:lang w:eastAsia="en-AU" w:bidi="ar-SA"/>
        </w:rPr>
        <w:t>)</w:t>
      </w:r>
      <w:r w:rsidR="001F46CB">
        <w:rPr>
          <w:lang w:eastAsia="en-AU" w:bidi="ar-SA"/>
        </w:rPr>
        <w:t xml:space="preserve">. </w:t>
      </w:r>
    </w:p>
    <w:p w14:paraId="2F0E87D9" w14:textId="4D52D910" w:rsidR="001D4FF3" w:rsidRDefault="001D4FF3" w:rsidP="0075550B">
      <w:pPr>
        <w:rPr>
          <w:lang w:eastAsia="en-AU" w:bidi="ar-SA"/>
        </w:rPr>
      </w:pPr>
    </w:p>
    <w:p w14:paraId="7E5E2A4D" w14:textId="36EB2BC8" w:rsidR="001D4FF3" w:rsidRDefault="001D4FF3" w:rsidP="0075550B">
      <w:pPr>
        <w:rPr>
          <w:lang w:eastAsia="en-AU" w:bidi="ar-SA"/>
        </w:rPr>
      </w:pPr>
      <w:r>
        <w:rPr>
          <w:rFonts w:cs="Arial"/>
        </w:rPr>
        <w:t xml:space="preserve">IUBMB lists the accepted name </w:t>
      </w:r>
      <w:r w:rsidR="00094535">
        <w:rPr>
          <w:rFonts w:cs="Arial"/>
        </w:rPr>
        <w:t xml:space="preserve">as </w:t>
      </w:r>
      <w:r w:rsidR="00094535" w:rsidRPr="001D4FF3">
        <w:rPr>
          <w:rFonts w:cs="Arial"/>
        </w:rPr>
        <w:t>endo</w:t>
      </w:r>
      <w:r w:rsidRPr="002E2590">
        <w:rPr>
          <w:rFonts w:cs="Arial"/>
        </w:rPr>
        <w:t>-1,4-β-xylanase</w:t>
      </w:r>
      <w:r>
        <w:rPr>
          <w:rFonts w:cs="Arial"/>
        </w:rPr>
        <w:t xml:space="preserve">. Similar permissions in the Code are consistent with </w:t>
      </w:r>
      <w:r w:rsidR="0095158C">
        <w:rPr>
          <w:rFonts w:cs="Arial"/>
        </w:rPr>
        <w:t xml:space="preserve">the </w:t>
      </w:r>
      <w:r>
        <w:rPr>
          <w:rFonts w:cs="Arial"/>
        </w:rPr>
        <w:t xml:space="preserve">IUBMB </w:t>
      </w:r>
      <w:r w:rsidR="0095158C">
        <w:rPr>
          <w:rFonts w:cs="Arial"/>
        </w:rPr>
        <w:t xml:space="preserve">accepted name </w:t>
      </w:r>
      <w:r>
        <w:rPr>
          <w:rFonts w:cs="Arial"/>
        </w:rPr>
        <w:t>so the draft variation to the Code</w:t>
      </w:r>
      <w:r w:rsidR="0095158C">
        <w:rPr>
          <w:rFonts w:cs="Arial"/>
        </w:rPr>
        <w:t xml:space="preserve"> for this Application will also follow this approach i.e. e</w:t>
      </w:r>
      <w:r w:rsidR="0095158C" w:rsidRPr="002E2590">
        <w:rPr>
          <w:rFonts w:cs="Arial"/>
        </w:rPr>
        <w:t>ndo-1,4-β-xylanase</w:t>
      </w:r>
      <w:r w:rsidR="00CC18E6">
        <w:rPr>
          <w:rFonts w:cs="Arial"/>
        </w:rPr>
        <w:t>.</w:t>
      </w:r>
      <w:r w:rsidR="00695983">
        <w:rPr>
          <w:rFonts w:cs="Arial"/>
        </w:rPr>
        <w:t xml:space="preserve"> This is different to the </w:t>
      </w:r>
      <w:r w:rsidR="001B7FE1">
        <w:rPr>
          <w:rFonts w:cs="Arial"/>
        </w:rPr>
        <w:t>A</w:t>
      </w:r>
      <w:r w:rsidR="00695983">
        <w:rPr>
          <w:rFonts w:cs="Arial"/>
        </w:rPr>
        <w:t>pplication which lists e</w:t>
      </w:r>
      <w:r w:rsidR="00695983" w:rsidRPr="002E2590">
        <w:rPr>
          <w:rFonts w:cs="Arial"/>
        </w:rPr>
        <w:t>ndo-1,4</w:t>
      </w:r>
      <w:r w:rsidR="001B7FE1">
        <w:rPr>
          <w:rFonts w:cs="Arial"/>
        </w:rPr>
        <w:t xml:space="preserve"> (3)</w:t>
      </w:r>
      <w:r w:rsidR="00695983" w:rsidRPr="002E2590">
        <w:rPr>
          <w:rFonts w:cs="Arial"/>
        </w:rPr>
        <w:t>-β-xylanase</w:t>
      </w:r>
      <w:r w:rsidR="00695983">
        <w:rPr>
          <w:rFonts w:cs="Arial"/>
        </w:rPr>
        <w:t xml:space="preserve"> as the </w:t>
      </w:r>
      <w:r w:rsidR="001B7FE1">
        <w:rPr>
          <w:rFonts w:cs="Arial"/>
        </w:rPr>
        <w:t xml:space="preserve">common </w:t>
      </w:r>
      <w:r w:rsidR="00695983">
        <w:rPr>
          <w:rFonts w:cs="Arial"/>
        </w:rPr>
        <w:t>name.</w:t>
      </w:r>
    </w:p>
    <w:p w14:paraId="4CAADBB1" w14:textId="42F6AF8D" w:rsidR="00B12FDC" w:rsidRDefault="00B12FDC" w:rsidP="0075550B">
      <w:pPr>
        <w:rPr>
          <w:lang w:eastAsia="en-AU" w:bidi="ar-SA"/>
        </w:rPr>
      </w:pPr>
    </w:p>
    <w:p w14:paraId="7F2DE1B8" w14:textId="2DCDFAFD" w:rsidR="001C2BC9" w:rsidRDefault="001C2BC9" w:rsidP="001C2BC9">
      <w:pPr>
        <w:rPr>
          <w:rFonts w:cs="Arial"/>
        </w:rPr>
      </w:pPr>
      <w:r>
        <w:rPr>
          <w:rFonts w:cs="Arial"/>
          <w:b/>
          <w:i/>
        </w:rPr>
        <w:t xml:space="preserve">Systematic name </w:t>
      </w:r>
      <w:r>
        <w:rPr>
          <w:rFonts w:cs="Arial"/>
        </w:rPr>
        <w:t>e</w:t>
      </w:r>
      <w:r w:rsidRPr="002E2590">
        <w:rPr>
          <w:rFonts w:cs="Arial"/>
        </w:rPr>
        <w:t>ndo-1,4-β-xylanase</w:t>
      </w:r>
    </w:p>
    <w:p w14:paraId="21BAEE36" w14:textId="77777777" w:rsidR="001C2BC9" w:rsidRDefault="001C2BC9" w:rsidP="0075550B">
      <w:pPr>
        <w:rPr>
          <w:b/>
          <w:i/>
          <w:lang w:eastAsia="en-AU"/>
        </w:rPr>
      </w:pPr>
    </w:p>
    <w:p w14:paraId="0CB980CE" w14:textId="6787ED6F" w:rsidR="00B12FDC" w:rsidRDefault="00B12FDC" w:rsidP="0075550B">
      <w:pPr>
        <w:rPr>
          <w:rFonts w:cs="Arial"/>
        </w:rPr>
      </w:pPr>
      <w:r w:rsidRPr="004638F4">
        <w:rPr>
          <w:b/>
          <w:i/>
          <w:lang w:eastAsia="en-AU"/>
        </w:rPr>
        <w:t>Common name</w:t>
      </w:r>
      <w:r>
        <w:rPr>
          <w:b/>
          <w:i/>
          <w:lang w:eastAsia="en-AU" w:bidi="ar-SA"/>
        </w:rPr>
        <w:t xml:space="preserve">  </w:t>
      </w:r>
      <w:r w:rsidRPr="002E2590">
        <w:rPr>
          <w:rFonts w:cs="Arial"/>
        </w:rPr>
        <w:t>Endo-1,4 (3)-β-xylanase</w:t>
      </w:r>
    </w:p>
    <w:p w14:paraId="44501AF0" w14:textId="423C0C91" w:rsidR="00680184" w:rsidRDefault="00B12FDC" w:rsidP="0075550B">
      <w:pPr>
        <w:rPr>
          <w:rFonts w:cs="Arial"/>
        </w:rPr>
      </w:pPr>
      <w:r>
        <w:rPr>
          <w:b/>
          <w:i/>
          <w:lang w:eastAsia="en-AU" w:bidi="ar-SA"/>
        </w:rPr>
        <w:t xml:space="preserve">Other names </w:t>
      </w:r>
      <w:r w:rsidR="00680184">
        <w:rPr>
          <w:b/>
          <w:i/>
          <w:lang w:eastAsia="en-AU" w:bidi="ar-SA"/>
        </w:rPr>
        <w:tab/>
      </w:r>
      <w:r>
        <w:rPr>
          <w:lang w:eastAsia="en-AU" w:bidi="ar-SA"/>
        </w:rPr>
        <w:t>Endo-(1,4)-</w:t>
      </w:r>
      <w:r w:rsidRPr="00B12FDC">
        <w:rPr>
          <w:rFonts w:cs="Arial"/>
        </w:rPr>
        <w:t xml:space="preserve"> </w:t>
      </w:r>
      <w:r w:rsidRPr="002E2590">
        <w:rPr>
          <w:rFonts w:cs="Arial"/>
        </w:rPr>
        <w:t>β-xylan</w:t>
      </w:r>
      <w:r>
        <w:rPr>
          <w:rFonts w:cs="Arial"/>
        </w:rPr>
        <w:t xml:space="preserve"> 4-xylanohydrolase; </w:t>
      </w:r>
    </w:p>
    <w:p w14:paraId="30FD82A3" w14:textId="2A3186B3" w:rsidR="00680184" w:rsidRDefault="00B12FDC" w:rsidP="00680184">
      <w:pPr>
        <w:ind w:left="1134" w:firstLine="567"/>
        <w:rPr>
          <w:rFonts w:cs="Arial"/>
        </w:rPr>
      </w:pPr>
      <w:r>
        <w:rPr>
          <w:rFonts w:cs="Arial"/>
        </w:rPr>
        <w:t xml:space="preserve">endo-1,4-xylanase; </w:t>
      </w:r>
    </w:p>
    <w:p w14:paraId="745A9491" w14:textId="66E84BC0" w:rsidR="00680184" w:rsidRDefault="00B12FDC" w:rsidP="00680184">
      <w:pPr>
        <w:ind w:left="1134" w:firstLine="567"/>
        <w:rPr>
          <w:rFonts w:cs="Arial"/>
        </w:rPr>
      </w:pPr>
      <w:r>
        <w:rPr>
          <w:rFonts w:cs="Arial"/>
        </w:rPr>
        <w:lastRenderedPageBreak/>
        <w:t xml:space="preserve">xylanase; </w:t>
      </w:r>
    </w:p>
    <w:p w14:paraId="4B4D7F4F" w14:textId="406EDA15" w:rsidR="00680184" w:rsidRDefault="00B12FDC" w:rsidP="00680184">
      <w:pPr>
        <w:ind w:left="1134" w:firstLine="567"/>
        <w:rPr>
          <w:rFonts w:cs="Arial"/>
        </w:rPr>
      </w:pPr>
      <w:r w:rsidRPr="002E2590">
        <w:rPr>
          <w:rFonts w:cs="Arial"/>
        </w:rPr>
        <w:t>β</w:t>
      </w:r>
      <w:r>
        <w:rPr>
          <w:rFonts w:cs="Arial"/>
        </w:rPr>
        <w:t>-1,4-xylanase;</w:t>
      </w:r>
    </w:p>
    <w:p w14:paraId="41799B16" w14:textId="756E8F03" w:rsidR="00680184" w:rsidRDefault="00B12FDC" w:rsidP="00680184">
      <w:pPr>
        <w:ind w:left="1134" w:firstLine="567"/>
        <w:rPr>
          <w:rFonts w:cs="Arial"/>
        </w:rPr>
      </w:pPr>
      <w:r>
        <w:rPr>
          <w:rFonts w:cs="Arial"/>
        </w:rPr>
        <w:t xml:space="preserve">endo-1,4-xylanase;  </w:t>
      </w:r>
    </w:p>
    <w:p w14:paraId="028BC564" w14:textId="4248D255" w:rsidR="00680184" w:rsidRDefault="00B12FDC" w:rsidP="00680184">
      <w:pPr>
        <w:ind w:left="1134" w:firstLine="567"/>
        <w:rPr>
          <w:rFonts w:cs="Arial"/>
        </w:rPr>
      </w:pPr>
      <w:r>
        <w:rPr>
          <w:rFonts w:cs="Arial"/>
        </w:rPr>
        <w:t>endo-</w:t>
      </w:r>
      <w:r w:rsidRPr="00B12FDC">
        <w:rPr>
          <w:rFonts w:cs="Arial"/>
        </w:rPr>
        <w:t xml:space="preserve"> </w:t>
      </w:r>
      <w:r w:rsidRPr="002E2590">
        <w:rPr>
          <w:rFonts w:cs="Arial"/>
        </w:rPr>
        <w:t>β</w:t>
      </w:r>
      <w:r>
        <w:rPr>
          <w:rFonts w:cs="Arial"/>
        </w:rPr>
        <w:t xml:space="preserve"> -1,4-xylanase; </w:t>
      </w:r>
    </w:p>
    <w:p w14:paraId="6863B955" w14:textId="3160D243" w:rsidR="00680184" w:rsidRDefault="00B12FDC" w:rsidP="00680184">
      <w:pPr>
        <w:ind w:left="1134" w:firstLine="567"/>
        <w:rPr>
          <w:rFonts w:cs="Arial"/>
        </w:rPr>
      </w:pPr>
      <w:r>
        <w:rPr>
          <w:rFonts w:cs="Arial"/>
        </w:rPr>
        <w:t>endo-</w:t>
      </w:r>
      <w:r w:rsidRPr="00B12FDC">
        <w:rPr>
          <w:rFonts w:cs="Arial"/>
        </w:rPr>
        <w:t xml:space="preserve"> </w:t>
      </w:r>
      <w:r w:rsidRPr="002E2590">
        <w:rPr>
          <w:rFonts w:cs="Arial"/>
        </w:rPr>
        <w:t>β</w:t>
      </w:r>
      <w:r>
        <w:rPr>
          <w:rFonts w:cs="Arial"/>
        </w:rPr>
        <w:t xml:space="preserve"> -1,4-D-xylanase; </w:t>
      </w:r>
    </w:p>
    <w:p w14:paraId="3B84A39A" w14:textId="77777777" w:rsidR="00680184" w:rsidRDefault="00B12FDC" w:rsidP="00680184">
      <w:pPr>
        <w:ind w:left="1134" w:firstLine="567"/>
        <w:rPr>
          <w:rFonts w:cs="Arial"/>
        </w:rPr>
      </w:pPr>
      <w:r>
        <w:rPr>
          <w:rFonts w:cs="Arial"/>
        </w:rPr>
        <w:t>1,4-</w:t>
      </w:r>
      <w:r w:rsidRPr="00B12FDC">
        <w:rPr>
          <w:rFonts w:cs="Arial"/>
        </w:rPr>
        <w:t xml:space="preserve"> </w:t>
      </w:r>
      <w:r w:rsidRPr="002E2590">
        <w:rPr>
          <w:rFonts w:cs="Arial"/>
        </w:rPr>
        <w:t>β</w:t>
      </w:r>
      <w:r>
        <w:rPr>
          <w:rFonts w:cs="Arial"/>
        </w:rPr>
        <w:t xml:space="preserve">-xylan xylanohydrolase; </w:t>
      </w:r>
    </w:p>
    <w:p w14:paraId="433BC099" w14:textId="11537159" w:rsidR="00680184" w:rsidRDefault="00B12FDC" w:rsidP="00680184">
      <w:pPr>
        <w:ind w:left="1134" w:firstLine="567"/>
        <w:rPr>
          <w:rFonts w:cs="Arial"/>
        </w:rPr>
      </w:pPr>
      <w:r w:rsidRPr="002E2590">
        <w:rPr>
          <w:rFonts w:cs="Arial"/>
        </w:rPr>
        <w:t>β</w:t>
      </w:r>
      <w:r>
        <w:rPr>
          <w:rFonts w:cs="Arial"/>
        </w:rPr>
        <w:t xml:space="preserve">-xylanase; </w:t>
      </w:r>
    </w:p>
    <w:p w14:paraId="0C62D333" w14:textId="77777777" w:rsidR="00680184" w:rsidRDefault="00B12FDC" w:rsidP="00680184">
      <w:pPr>
        <w:ind w:left="1134" w:firstLine="567"/>
        <w:rPr>
          <w:rFonts w:cs="Arial"/>
        </w:rPr>
      </w:pPr>
      <w:r w:rsidRPr="002E2590">
        <w:rPr>
          <w:rFonts w:cs="Arial"/>
        </w:rPr>
        <w:t>β</w:t>
      </w:r>
      <w:r>
        <w:rPr>
          <w:rFonts w:cs="Arial"/>
        </w:rPr>
        <w:t xml:space="preserve">-1,4-xylan xylanohydrolase; </w:t>
      </w:r>
    </w:p>
    <w:p w14:paraId="4A0BD3C8" w14:textId="62D14346" w:rsidR="0075550B" w:rsidRDefault="00B12FDC" w:rsidP="00680184">
      <w:pPr>
        <w:ind w:left="1134" w:firstLine="567"/>
        <w:rPr>
          <w:rFonts w:cs="Arial"/>
        </w:rPr>
      </w:pPr>
      <w:r>
        <w:rPr>
          <w:rFonts w:cs="Arial"/>
        </w:rPr>
        <w:t>endo-1,4-</w:t>
      </w:r>
      <w:r w:rsidRPr="00B12FDC">
        <w:rPr>
          <w:rFonts w:cs="Arial"/>
        </w:rPr>
        <w:t xml:space="preserve"> </w:t>
      </w:r>
      <w:r w:rsidRPr="002E2590">
        <w:rPr>
          <w:rFonts w:cs="Arial"/>
        </w:rPr>
        <w:t>β</w:t>
      </w:r>
      <w:r>
        <w:rPr>
          <w:rFonts w:cs="Arial"/>
        </w:rPr>
        <w:t>-D-xylanase</w:t>
      </w:r>
    </w:p>
    <w:p w14:paraId="7C2119F7" w14:textId="60CE981A" w:rsidR="00D4446F" w:rsidRDefault="00D4446F" w:rsidP="0075550B">
      <w:pPr>
        <w:rPr>
          <w:rFonts w:cs="Arial"/>
        </w:rPr>
      </w:pPr>
    </w:p>
    <w:p w14:paraId="70ADFE7A" w14:textId="3C9F28C2" w:rsidR="00D4446F" w:rsidRDefault="00D4446F" w:rsidP="0075550B">
      <w:pPr>
        <w:rPr>
          <w:rFonts w:cs="Arial"/>
        </w:rPr>
      </w:pPr>
      <w:r>
        <w:rPr>
          <w:rFonts w:cs="Arial"/>
          <w:b/>
          <w:i/>
        </w:rPr>
        <w:t xml:space="preserve">IUBMB Enzyme Nomenclature </w:t>
      </w:r>
      <w:r w:rsidR="00C02066">
        <w:rPr>
          <w:rFonts w:cs="Arial"/>
          <w:b/>
          <w:i/>
        </w:rPr>
        <w:t xml:space="preserve"> &amp; EC number </w:t>
      </w:r>
      <w:r>
        <w:rPr>
          <w:rFonts w:cs="Arial"/>
        </w:rPr>
        <w:t>3.2.1.8</w:t>
      </w:r>
    </w:p>
    <w:p w14:paraId="37F4B1C8" w14:textId="77777777" w:rsidR="00094535" w:rsidRDefault="00094535" w:rsidP="0075550B">
      <w:pPr>
        <w:rPr>
          <w:rFonts w:cs="Arial"/>
        </w:rPr>
      </w:pPr>
    </w:p>
    <w:p w14:paraId="786D28BD" w14:textId="470F7B29" w:rsidR="00913BB5" w:rsidRPr="00913BB5" w:rsidRDefault="00913BB5" w:rsidP="0075550B">
      <w:pPr>
        <w:rPr>
          <w:rFonts w:cs="Arial"/>
          <w:b/>
          <w:i/>
        </w:rPr>
      </w:pPr>
      <w:r w:rsidRPr="00913BB5">
        <w:rPr>
          <w:rFonts w:cs="Arial"/>
          <w:b/>
          <w:i/>
        </w:rPr>
        <w:t xml:space="preserve">C.A.S. number </w:t>
      </w:r>
      <w:r>
        <w:rPr>
          <w:rFonts w:cs="Arial"/>
          <w:b/>
          <w:i/>
        </w:rPr>
        <w:t xml:space="preserve"> </w:t>
      </w:r>
      <w:r>
        <w:rPr>
          <w:rFonts w:cs="Arial"/>
        </w:rPr>
        <w:t>9025-57-4</w:t>
      </w:r>
    </w:p>
    <w:p w14:paraId="091035F6" w14:textId="68F7F765" w:rsidR="00B85735" w:rsidRDefault="00B85735" w:rsidP="0075550B">
      <w:pPr>
        <w:rPr>
          <w:rFonts w:cs="Arial"/>
        </w:rPr>
      </w:pPr>
    </w:p>
    <w:p w14:paraId="0BDAC1F3" w14:textId="687C44EC" w:rsidR="00B85735" w:rsidRPr="004638F4" w:rsidRDefault="00B85735" w:rsidP="0075550B">
      <w:pPr>
        <w:rPr>
          <w:i/>
        </w:rPr>
      </w:pPr>
      <w:r w:rsidRPr="004638F4">
        <w:rPr>
          <w:b/>
          <w:i/>
        </w:rPr>
        <w:t>Host</w:t>
      </w:r>
      <w:r w:rsidR="00C80C8F">
        <w:rPr>
          <w:b/>
          <w:i/>
        </w:rPr>
        <w:t xml:space="preserve"> </w:t>
      </w:r>
      <w:r w:rsidRPr="004638F4">
        <w:rPr>
          <w:b/>
          <w:i/>
        </w:rPr>
        <w:t>microorganism</w:t>
      </w:r>
      <w:r>
        <w:rPr>
          <w:rFonts w:cs="Arial"/>
        </w:rPr>
        <w:t xml:space="preserve"> </w:t>
      </w:r>
      <w:r w:rsidRPr="004638F4">
        <w:rPr>
          <w:i/>
        </w:rPr>
        <w:t>Trichoderma reesei</w:t>
      </w:r>
    </w:p>
    <w:p w14:paraId="71201DF0" w14:textId="64417963" w:rsidR="00B85735" w:rsidRDefault="00B85735" w:rsidP="0075550B">
      <w:pPr>
        <w:rPr>
          <w:rFonts w:cs="Arial"/>
        </w:rPr>
      </w:pPr>
    </w:p>
    <w:p w14:paraId="3EDABCC8" w14:textId="15BF10A9" w:rsidR="00B85735" w:rsidRDefault="00A91A9D" w:rsidP="0075550B">
      <w:pPr>
        <w:rPr>
          <w:rFonts w:cs="Arial"/>
        </w:rPr>
      </w:pPr>
      <w:r>
        <w:rPr>
          <w:b/>
          <w:i/>
        </w:rPr>
        <w:t>Gene d</w:t>
      </w:r>
      <w:r w:rsidR="00B85735" w:rsidRPr="004638F4">
        <w:rPr>
          <w:b/>
          <w:i/>
        </w:rPr>
        <w:t>onor microorganism</w:t>
      </w:r>
      <w:r w:rsidR="00F55257">
        <w:rPr>
          <w:b/>
          <w:i/>
        </w:rPr>
        <w:t xml:space="preserve"> </w:t>
      </w:r>
      <w:r w:rsidR="00B85735" w:rsidRPr="004638F4">
        <w:rPr>
          <w:i/>
        </w:rPr>
        <w:t>T</w:t>
      </w:r>
      <w:r w:rsidR="00BA3085" w:rsidRPr="004638F4">
        <w:rPr>
          <w:i/>
        </w:rPr>
        <w:t>hermopolyspora</w:t>
      </w:r>
      <w:r w:rsidR="00B85735" w:rsidRPr="004638F4">
        <w:rPr>
          <w:i/>
        </w:rPr>
        <w:t xml:space="preserve"> flexuosa</w:t>
      </w:r>
    </w:p>
    <w:p w14:paraId="027B987E" w14:textId="364DA995" w:rsidR="00D4446F" w:rsidRDefault="00D4446F" w:rsidP="0075550B">
      <w:pPr>
        <w:rPr>
          <w:rFonts w:cs="Arial"/>
        </w:rPr>
      </w:pPr>
    </w:p>
    <w:p w14:paraId="5C6F7E10" w14:textId="08FAE836" w:rsidR="001D36E0" w:rsidRDefault="001D36E0" w:rsidP="0075550B">
      <w:pPr>
        <w:rPr>
          <w:rFonts w:cs="Arial"/>
          <w:b/>
          <w:i/>
        </w:rPr>
      </w:pPr>
      <w:r>
        <w:rPr>
          <w:rFonts w:cs="Arial"/>
          <w:b/>
          <w:i/>
        </w:rPr>
        <w:t xml:space="preserve">Reaction catalysed </w:t>
      </w:r>
    </w:p>
    <w:p w14:paraId="1CAB0D8D" w14:textId="52CCC076" w:rsidR="001D36E0" w:rsidRDefault="001D36E0" w:rsidP="0075550B">
      <w:pPr>
        <w:rPr>
          <w:rFonts w:cs="Arial"/>
          <w:b/>
          <w:i/>
        </w:rPr>
      </w:pPr>
    </w:p>
    <w:p w14:paraId="1400427D" w14:textId="7BCF47E3" w:rsidR="001D36E0" w:rsidRDefault="001D36E0" w:rsidP="0075550B">
      <w:pPr>
        <w:rPr>
          <w:rFonts w:cs="Arial"/>
        </w:rPr>
      </w:pPr>
      <w:r>
        <w:rPr>
          <w:rFonts w:cs="Arial"/>
        </w:rPr>
        <w:t>Endo-</w:t>
      </w:r>
      <w:r w:rsidR="004638F4">
        <w:rPr>
          <w:rFonts w:cs="Arial"/>
        </w:rPr>
        <w:t>1,4-</w:t>
      </w:r>
      <w:r w:rsidRPr="00B12FDC">
        <w:rPr>
          <w:rFonts w:cs="Arial"/>
        </w:rPr>
        <w:t xml:space="preserve"> </w:t>
      </w:r>
      <w:r w:rsidRPr="002E2590">
        <w:rPr>
          <w:rFonts w:cs="Arial"/>
        </w:rPr>
        <w:t>β</w:t>
      </w:r>
      <w:r>
        <w:rPr>
          <w:rFonts w:cs="Arial"/>
        </w:rPr>
        <w:t>-xylanase</w:t>
      </w:r>
      <w:r>
        <w:rPr>
          <w:lang w:eastAsia="en-AU"/>
        </w:rPr>
        <w:t xml:space="preserve"> </w:t>
      </w:r>
      <w:r>
        <w:rPr>
          <w:rFonts w:cs="Arial"/>
        </w:rPr>
        <w:t xml:space="preserve">hydrolyses the xylosidic linkages in an arabinoxylan backbone (and other </w:t>
      </w:r>
      <w:r w:rsidRPr="002E2590">
        <w:rPr>
          <w:rFonts w:cs="Arial"/>
        </w:rPr>
        <w:t>β</w:t>
      </w:r>
      <w:r>
        <w:rPr>
          <w:rFonts w:cs="Arial"/>
        </w:rPr>
        <w:t>-1,4-linked xylans) resulting in depolymerisation of arabinoxylan</w:t>
      </w:r>
      <w:r w:rsidR="00CC18E6">
        <w:rPr>
          <w:rFonts w:cs="Arial"/>
        </w:rPr>
        <w:t>s</w:t>
      </w:r>
      <w:r>
        <w:rPr>
          <w:rFonts w:cs="Arial"/>
        </w:rPr>
        <w:t xml:space="preserve"> into smaller oligosac</w:t>
      </w:r>
      <w:r w:rsidR="00BE42B4">
        <w:rPr>
          <w:rFonts w:cs="Arial"/>
        </w:rPr>
        <w:t xml:space="preserve">charides. </w:t>
      </w:r>
    </w:p>
    <w:p w14:paraId="40134126" w14:textId="4B4B396B" w:rsidR="00535162" w:rsidRPr="00D67005" w:rsidRDefault="0075550B" w:rsidP="00D67005">
      <w:pPr>
        <w:pStyle w:val="FSCh3Standard"/>
      </w:pPr>
      <w:bookmarkStart w:id="16" w:name="_Toc499282431"/>
      <w:bookmarkStart w:id="17" w:name="_Toc505255631"/>
      <w:bookmarkStart w:id="18" w:name="_Toc471740075"/>
      <w:r w:rsidRPr="00EE61E1">
        <w:t>2.</w:t>
      </w:r>
      <w:r w:rsidR="00F624BA">
        <w:t>3</w:t>
      </w:r>
      <w:r w:rsidR="00BA1C8A" w:rsidRPr="00EE61E1">
        <w:t xml:space="preserve"> </w:t>
      </w:r>
      <w:r w:rsidR="00535162" w:rsidRPr="00EE61E1">
        <w:t>Product specification</w:t>
      </w:r>
      <w:bookmarkEnd w:id="16"/>
      <w:bookmarkEnd w:id="17"/>
    </w:p>
    <w:p w14:paraId="31F67452" w14:textId="44EA6C75" w:rsidR="00556E37" w:rsidRDefault="00556E37" w:rsidP="00556E37">
      <w:pPr>
        <w:rPr>
          <w:lang w:eastAsia="en-AU" w:bidi="ar-SA"/>
        </w:rPr>
      </w:pPr>
      <w:r>
        <w:rPr>
          <w:lang w:eastAsia="en-AU" w:bidi="ar-SA"/>
        </w:rPr>
        <w:t xml:space="preserve">There are international specifications for enzyme preparations used in food production. </w:t>
      </w:r>
      <w:r w:rsidRPr="00DD6B6A">
        <w:rPr>
          <w:lang w:eastAsia="en-AU" w:bidi="ar-SA"/>
        </w:rPr>
        <w:t xml:space="preserve">These have been established by the Joint FAO/WHO Expert Committee on Food Additives </w:t>
      </w:r>
      <w:r>
        <w:rPr>
          <w:lang w:eastAsia="en-AU" w:bidi="ar-SA"/>
        </w:rPr>
        <w:t>(JECFA</w:t>
      </w:r>
      <w:r w:rsidR="00C02066" w:rsidRPr="00CE1442">
        <w:rPr>
          <w:rStyle w:val="Hyperlink"/>
          <w:color w:val="auto"/>
          <w:u w:val="none"/>
          <w:lang w:eastAsia="en-AU" w:bidi="ar-SA"/>
        </w:rPr>
        <w:t xml:space="preserve">, </w:t>
      </w:r>
      <w:r w:rsidR="00A91A9D" w:rsidRPr="00CE1442">
        <w:rPr>
          <w:rStyle w:val="Hyperlink"/>
          <w:color w:val="auto"/>
          <w:u w:val="none"/>
          <w:lang w:eastAsia="en-AU" w:bidi="ar-SA"/>
        </w:rPr>
        <w:t>20</w:t>
      </w:r>
      <w:r w:rsidR="00A91A9D">
        <w:rPr>
          <w:rStyle w:val="Hyperlink"/>
          <w:color w:val="auto"/>
          <w:u w:val="none"/>
          <w:lang w:eastAsia="en-AU" w:bidi="ar-SA"/>
        </w:rPr>
        <w:t>06</w:t>
      </w:r>
      <w:r w:rsidRPr="00DD6B6A">
        <w:rPr>
          <w:lang w:eastAsia="en-AU" w:bidi="ar-SA"/>
        </w:rPr>
        <w:t>) and the Food Chemical</w:t>
      </w:r>
      <w:r>
        <w:rPr>
          <w:lang w:eastAsia="en-AU" w:bidi="ar-SA"/>
        </w:rPr>
        <w:t>s</w:t>
      </w:r>
      <w:r w:rsidRPr="00DD6B6A">
        <w:rPr>
          <w:lang w:eastAsia="en-AU" w:bidi="ar-SA"/>
        </w:rPr>
        <w:t xml:space="preserve"> Codex</w:t>
      </w:r>
      <w:r w:rsidR="00D02B85">
        <w:rPr>
          <w:lang w:eastAsia="en-AU" w:bidi="ar-SA"/>
        </w:rPr>
        <w:t xml:space="preserve"> </w:t>
      </w:r>
      <w:r w:rsidR="009146B9">
        <w:rPr>
          <w:lang w:eastAsia="en-AU" w:bidi="ar-SA"/>
        </w:rPr>
        <w:t>(FCC)</w:t>
      </w:r>
      <w:r w:rsidRPr="00DD6B6A">
        <w:rPr>
          <w:lang w:eastAsia="en-AU" w:bidi="ar-SA"/>
        </w:rPr>
        <w:t xml:space="preserve"> (</w:t>
      </w:r>
      <w:r>
        <w:rPr>
          <w:lang w:eastAsia="en-AU" w:bidi="ar-SA"/>
        </w:rPr>
        <w:t>USP,</w:t>
      </w:r>
      <w:r w:rsidRPr="00DD6B6A">
        <w:rPr>
          <w:lang w:eastAsia="en-AU" w:bidi="ar-SA"/>
        </w:rPr>
        <w:t xml:space="preserve"> 201</w:t>
      </w:r>
      <w:r>
        <w:rPr>
          <w:lang w:eastAsia="en-AU" w:bidi="ar-SA"/>
        </w:rPr>
        <w:t>4</w:t>
      </w:r>
      <w:r w:rsidRPr="00DD6B6A">
        <w:rPr>
          <w:lang w:eastAsia="en-AU" w:bidi="ar-SA"/>
        </w:rPr>
        <w:t xml:space="preserve">). </w:t>
      </w:r>
      <w:r>
        <w:rPr>
          <w:lang w:eastAsia="en-AU" w:bidi="ar-SA"/>
        </w:rPr>
        <w:t>Both of these specification sources are primary sources listed in Schedule S3</w:t>
      </w:r>
      <w:r>
        <w:rPr>
          <w:rFonts w:cs="Arial"/>
          <w:lang w:eastAsia="en-AU" w:bidi="ar-SA"/>
        </w:rPr>
        <w:t>—</w:t>
      </w:r>
      <w:r>
        <w:rPr>
          <w:lang w:eastAsia="en-AU" w:bidi="ar-SA"/>
        </w:rPr>
        <w:t>2</w:t>
      </w:r>
      <w:r w:rsidR="00701954">
        <w:rPr>
          <w:lang w:eastAsia="en-AU" w:bidi="ar-SA"/>
        </w:rPr>
        <w:t xml:space="preserve"> of the Code</w:t>
      </w:r>
      <w:r>
        <w:rPr>
          <w:lang w:eastAsia="en-AU" w:bidi="ar-SA"/>
        </w:rPr>
        <w:t>. Enzyme preparations must meet these specifications.</w:t>
      </w:r>
    </w:p>
    <w:p w14:paraId="56D939D7" w14:textId="77777777" w:rsidR="00556E37" w:rsidRDefault="00556E37" w:rsidP="00556E37">
      <w:pPr>
        <w:rPr>
          <w:lang w:eastAsia="en-AU" w:bidi="ar-SA"/>
        </w:rPr>
      </w:pPr>
    </w:p>
    <w:p w14:paraId="668CD4F4" w14:textId="60EB1FC4" w:rsidR="00556E37" w:rsidRDefault="00556E37" w:rsidP="00556E37">
      <w:pPr>
        <w:rPr>
          <w:lang w:eastAsia="en-AU" w:bidi="ar-SA"/>
        </w:rPr>
      </w:pPr>
      <w:r>
        <w:rPr>
          <w:lang w:eastAsia="en-AU" w:bidi="ar-SA"/>
        </w:rPr>
        <w:t xml:space="preserve">The Application provides analytical results </w:t>
      </w:r>
      <w:r w:rsidR="00D37EAE">
        <w:rPr>
          <w:lang w:eastAsia="en-AU" w:bidi="ar-SA"/>
        </w:rPr>
        <w:t xml:space="preserve">for </w:t>
      </w:r>
      <w:r w:rsidR="006E7B70">
        <w:rPr>
          <w:lang w:eastAsia="en-AU" w:bidi="ar-SA"/>
        </w:rPr>
        <w:t>several</w:t>
      </w:r>
      <w:r>
        <w:rPr>
          <w:lang w:eastAsia="en-AU" w:bidi="ar-SA"/>
        </w:rPr>
        <w:t xml:space="preserve"> </w:t>
      </w:r>
      <w:r w:rsidR="00CC18E6">
        <w:rPr>
          <w:lang w:eastAsia="en-AU" w:bidi="ar-SA"/>
        </w:rPr>
        <w:t>batches</w:t>
      </w:r>
      <w:r>
        <w:rPr>
          <w:lang w:eastAsia="en-AU" w:bidi="ar-SA"/>
        </w:rPr>
        <w:t xml:space="preserve"> </w:t>
      </w:r>
      <w:r w:rsidR="00D37EAE">
        <w:rPr>
          <w:lang w:eastAsia="en-AU" w:bidi="ar-SA"/>
        </w:rPr>
        <w:t xml:space="preserve">of </w:t>
      </w:r>
      <w:r w:rsidR="00A61B6C">
        <w:rPr>
          <w:rFonts w:cs="Arial"/>
        </w:rPr>
        <w:t>e</w:t>
      </w:r>
      <w:r w:rsidR="00D37EAE">
        <w:rPr>
          <w:rFonts w:cs="Arial"/>
        </w:rPr>
        <w:t>ndo-1,4-</w:t>
      </w:r>
      <w:r w:rsidR="00D37EAE" w:rsidRPr="00B12FDC">
        <w:rPr>
          <w:rFonts w:cs="Arial"/>
        </w:rPr>
        <w:t xml:space="preserve"> </w:t>
      </w:r>
      <w:r w:rsidR="00D37EAE" w:rsidRPr="002E2590">
        <w:rPr>
          <w:rFonts w:cs="Arial"/>
        </w:rPr>
        <w:t>β</w:t>
      </w:r>
      <w:r w:rsidR="00D37EAE">
        <w:rPr>
          <w:rFonts w:cs="Arial"/>
        </w:rPr>
        <w:t>-xylanase</w:t>
      </w:r>
      <w:r w:rsidR="00D37EAE">
        <w:rPr>
          <w:lang w:eastAsia="en-AU"/>
        </w:rPr>
        <w:t xml:space="preserve"> </w:t>
      </w:r>
      <w:r>
        <w:rPr>
          <w:lang w:eastAsia="en-AU" w:bidi="ar-SA"/>
        </w:rPr>
        <w:t>confirming the enzyme preparation meets international specifications</w:t>
      </w:r>
      <w:r w:rsidR="007758C7">
        <w:rPr>
          <w:lang w:eastAsia="en-AU" w:bidi="ar-SA"/>
        </w:rPr>
        <w:t xml:space="preserve"> for enzyme preparations and also Code requirements</w:t>
      </w:r>
      <w:r>
        <w:rPr>
          <w:lang w:eastAsia="en-AU" w:bidi="ar-SA"/>
        </w:rPr>
        <w:t xml:space="preserve"> (Table 1). </w:t>
      </w:r>
    </w:p>
    <w:p w14:paraId="6C9F161C" w14:textId="77777777" w:rsidR="006A558D" w:rsidRDefault="006A558D" w:rsidP="00556E37">
      <w:pPr>
        <w:rPr>
          <w:lang w:eastAsia="en-AU" w:bidi="ar-SA"/>
        </w:rPr>
      </w:pPr>
    </w:p>
    <w:tbl>
      <w:tblPr>
        <w:tblStyle w:val="TableGrid"/>
        <w:tblW w:w="8894" w:type="dxa"/>
        <w:tblInd w:w="392" w:type="dxa"/>
        <w:tblLook w:val="04A0" w:firstRow="1" w:lastRow="0" w:firstColumn="1" w:lastColumn="0" w:noHBand="0" w:noVBand="1"/>
        <w:tblDescription w:val="Column 1 lists various metals and microbiology.                               Column's 2 to 4 (labelled A, B and C) contain analytical results (metals, microbiology) for 3 batch's (A,B and C) of endo-1,4-B-xylanase enzyme preparation. Column's 5 to 7 contain the analytical limits listed in international specifications and Code requirements. This confirms each of the 3 batch's of endo-1,4-B-xylanase enzyme preparation meet these limits/requirements."/>
      </w:tblPr>
      <w:tblGrid>
        <w:gridCol w:w="1814"/>
        <w:gridCol w:w="1218"/>
        <w:gridCol w:w="1218"/>
        <w:gridCol w:w="1218"/>
        <w:gridCol w:w="1148"/>
        <w:gridCol w:w="1242"/>
        <w:gridCol w:w="1036"/>
      </w:tblGrid>
      <w:tr w:rsidR="001F46CB" w14:paraId="74D5C8A5" w14:textId="44392D5E" w:rsidTr="00A61B6C">
        <w:trPr>
          <w:cantSplit/>
          <w:trHeight w:val="283"/>
        </w:trPr>
        <w:tc>
          <w:tcPr>
            <w:tcW w:w="1814" w:type="dxa"/>
            <w:shd w:val="clear" w:color="auto" w:fill="BFBFBF" w:themeFill="background1" w:themeFillShade="BF"/>
          </w:tcPr>
          <w:p w14:paraId="6DFEC126" w14:textId="0448AEF1" w:rsidR="00F77492" w:rsidRPr="006A558D" w:rsidRDefault="00556E37" w:rsidP="00CE4187">
            <w:pPr>
              <w:pStyle w:val="FSTableTitle"/>
              <w:rPr>
                <w:i/>
                <w:sz w:val="18"/>
                <w:szCs w:val="18"/>
                <w:lang w:eastAsia="en-AU" w:bidi="ar-SA"/>
              </w:rPr>
            </w:pPr>
            <w:r w:rsidRPr="006A558D">
              <w:rPr>
                <w:sz w:val="18"/>
                <w:szCs w:val="18"/>
              </w:rPr>
              <w:t xml:space="preserve"> </w:t>
            </w:r>
            <w:r w:rsidR="0070020E" w:rsidRPr="006A558D">
              <w:rPr>
                <w:i/>
                <w:sz w:val="18"/>
                <w:szCs w:val="18"/>
              </w:rPr>
              <w:t>Table 1</w:t>
            </w:r>
            <w:r w:rsidR="0070020E" w:rsidRPr="006A558D">
              <w:rPr>
                <w:sz w:val="18"/>
                <w:szCs w:val="18"/>
              </w:rPr>
              <w:t xml:space="preserve"> </w:t>
            </w:r>
            <w:r w:rsidR="009146B9" w:rsidRPr="006A558D">
              <w:rPr>
                <w:i/>
                <w:sz w:val="18"/>
                <w:szCs w:val="18"/>
              </w:rPr>
              <w:t xml:space="preserve">Comparison of </w:t>
            </w:r>
            <w:r w:rsidR="007758C7" w:rsidRPr="006A558D">
              <w:rPr>
                <w:i/>
                <w:sz w:val="18"/>
                <w:szCs w:val="18"/>
              </w:rPr>
              <w:t xml:space="preserve">analytical results for </w:t>
            </w:r>
            <w:r w:rsidR="00F77492" w:rsidRPr="006A558D">
              <w:rPr>
                <w:i/>
                <w:sz w:val="18"/>
                <w:szCs w:val="18"/>
              </w:rPr>
              <w:t>endo-1,4- β-xylanase</w:t>
            </w:r>
            <w:r w:rsidR="00F77492" w:rsidRPr="006A558D">
              <w:rPr>
                <w:i/>
                <w:sz w:val="18"/>
                <w:szCs w:val="18"/>
                <w:lang w:eastAsia="en-AU"/>
              </w:rPr>
              <w:t xml:space="preserve"> </w:t>
            </w:r>
            <w:r w:rsidR="00DE22C0">
              <w:rPr>
                <w:i/>
                <w:sz w:val="18"/>
                <w:szCs w:val="18"/>
              </w:rPr>
              <w:t>enzyme preparation (batche</w:t>
            </w:r>
            <w:r w:rsidR="001B7FE1" w:rsidRPr="006A558D">
              <w:rPr>
                <w:i/>
                <w:sz w:val="18"/>
                <w:szCs w:val="18"/>
              </w:rPr>
              <w:t>s)</w:t>
            </w:r>
            <w:r w:rsidR="00F77492" w:rsidRPr="006A558D">
              <w:rPr>
                <w:i/>
                <w:sz w:val="18"/>
                <w:szCs w:val="18"/>
              </w:rPr>
              <w:t xml:space="preserve"> with international specifications and the Code</w:t>
            </w:r>
            <w:r w:rsidR="007758C7" w:rsidRPr="006A558D">
              <w:rPr>
                <w:i/>
                <w:sz w:val="18"/>
                <w:szCs w:val="18"/>
              </w:rPr>
              <w:t xml:space="preserve"> requirements</w:t>
            </w:r>
          </w:p>
          <w:p w14:paraId="3CFB9A6B" w14:textId="555F4B8E" w:rsidR="001F46CB" w:rsidRPr="006A558D" w:rsidRDefault="001F46CB" w:rsidP="00F77492">
            <w:pPr>
              <w:rPr>
                <w:sz w:val="18"/>
                <w:szCs w:val="18"/>
                <w:lang w:eastAsia="en-AU" w:bidi="ar-SA"/>
              </w:rPr>
            </w:pPr>
          </w:p>
        </w:tc>
        <w:tc>
          <w:tcPr>
            <w:tcW w:w="3654" w:type="dxa"/>
            <w:gridSpan w:val="3"/>
            <w:shd w:val="clear" w:color="auto" w:fill="BFBFBF" w:themeFill="background1" w:themeFillShade="BF"/>
            <w:vAlign w:val="center"/>
          </w:tcPr>
          <w:p w14:paraId="1B5FDCA8" w14:textId="6DB33511" w:rsidR="001F46CB" w:rsidRPr="001B7FE1" w:rsidRDefault="00F77492" w:rsidP="00CE4187">
            <w:pPr>
              <w:pStyle w:val="FSTableHeading"/>
              <w:rPr>
                <w:sz w:val="18"/>
                <w:szCs w:val="18"/>
                <w:lang w:eastAsia="en-AU" w:bidi="ar-SA"/>
              </w:rPr>
            </w:pPr>
            <w:r>
              <w:rPr>
                <w:sz w:val="18"/>
                <w:szCs w:val="18"/>
                <w:lang w:eastAsia="en-AU" w:bidi="ar-SA"/>
              </w:rPr>
              <w:t xml:space="preserve">Analytical results for the </w:t>
            </w:r>
            <w:r w:rsidRPr="00F77492">
              <w:rPr>
                <w:sz w:val="18"/>
                <w:szCs w:val="18"/>
              </w:rPr>
              <w:t>endo-1,4- β-xylanase</w:t>
            </w:r>
            <w:r w:rsidRPr="00F77492" w:rsidDel="00F77492">
              <w:rPr>
                <w:sz w:val="18"/>
                <w:szCs w:val="18"/>
                <w:lang w:eastAsia="en-AU" w:bidi="ar-SA"/>
              </w:rPr>
              <w:t xml:space="preserve"> </w:t>
            </w:r>
            <w:r w:rsidR="00CE1442">
              <w:rPr>
                <w:sz w:val="18"/>
                <w:szCs w:val="18"/>
                <w:lang w:eastAsia="en-AU" w:bidi="ar-SA"/>
              </w:rPr>
              <w:t>enzyme</w:t>
            </w:r>
            <w:r w:rsidR="001B7FE1">
              <w:rPr>
                <w:sz w:val="18"/>
                <w:szCs w:val="18"/>
                <w:lang w:eastAsia="en-AU" w:bidi="ar-SA"/>
              </w:rPr>
              <w:t xml:space="preserve"> preparation (</w:t>
            </w:r>
            <w:r w:rsidR="00CE1442">
              <w:rPr>
                <w:sz w:val="18"/>
                <w:szCs w:val="18"/>
                <w:lang w:eastAsia="en-AU" w:bidi="ar-SA"/>
              </w:rPr>
              <w:t>b</w:t>
            </w:r>
            <w:r w:rsidR="001B7FE1">
              <w:rPr>
                <w:sz w:val="18"/>
                <w:szCs w:val="18"/>
                <w:lang w:eastAsia="en-AU" w:bidi="ar-SA"/>
              </w:rPr>
              <w:t>atch’s)</w:t>
            </w:r>
          </w:p>
        </w:tc>
        <w:tc>
          <w:tcPr>
            <w:tcW w:w="1148" w:type="dxa"/>
            <w:shd w:val="clear" w:color="auto" w:fill="BFBFBF" w:themeFill="background1" w:themeFillShade="BF"/>
            <w:vAlign w:val="center"/>
          </w:tcPr>
          <w:p w14:paraId="47A0CE15" w14:textId="77777777" w:rsidR="001F46CB" w:rsidRPr="00DE5BDF" w:rsidRDefault="001F46CB" w:rsidP="00DE5BDF">
            <w:pPr>
              <w:pStyle w:val="FSTableHeading"/>
              <w:jc w:val="left"/>
              <w:rPr>
                <w:sz w:val="18"/>
                <w:szCs w:val="18"/>
                <w:lang w:eastAsia="en-AU" w:bidi="ar-SA"/>
              </w:rPr>
            </w:pPr>
            <w:r w:rsidRPr="00DE5BDF">
              <w:rPr>
                <w:sz w:val="18"/>
                <w:szCs w:val="18"/>
                <w:lang w:eastAsia="en-AU" w:bidi="ar-SA"/>
              </w:rPr>
              <w:t>JECFA</w:t>
            </w:r>
          </w:p>
        </w:tc>
        <w:tc>
          <w:tcPr>
            <w:tcW w:w="1242" w:type="dxa"/>
            <w:shd w:val="clear" w:color="auto" w:fill="BFBFBF" w:themeFill="background1" w:themeFillShade="BF"/>
            <w:vAlign w:val="center"/>
          </w:tcPr>
          <w:p w14:paraId="7F0EC62E" w14:textId="77777777" w:rsidR="001F46CB" w:rsidRPr="00DE5BDF" w:rsidRDefault="001F46CB" w:rsidP="00DE5BDF">
            <w:pPr>
              <w:pStyle w:val="FSTableHeading"/>
              <w:jc w:val="left"/>
              <w:rPr>
                <w:sz w:val="18"/>
                <w:szCs w:val="18"/>
                <w:lang w:eastAsia="en-AU" w:bidi="ar-SA"/>
              </w:rPr>
            </w:pPr>
            <w:r w:rsidRPr="00DE5BDF">
              <w:rPr>
                <w:sz w:val="18"/>
                <w:szCs w:val="18"/>
                <w:lang w:eastAsia="en-AU" w:bidi="ar-SA"/>
              </w:rPr>
              <w:t>FCC</w:t>
            </w:r>
          </w:p>
        </w:tc>
        <w:tc>
          <w:tcPr>
            <w:tcW w:w="1036" w:type="dxa"/>
            <w:shd w:val="clear" w:color="auto" w:fill="BFBFBF" w:themeFill="background1" w:themeFillShade="BF"/>
          </w:tcPr>
          <w:p w14:paraId="608E4337" w14:textId="0A1178E1" w:rsidR="001F46CB" w:rsidRPr="00DE5BDF" w:rsidRDefault="001F46CB" w:rsidP="00DE5BDF">
            <w:pPr>
              <w:pStyle w:val="FSTableHeading"/>
              <w:jc w:val="left"/>
              <w:rPr>
                <w:sz w:val="18"/>
                <w:szCs w:val="18"/>
                <w:lang w:eastAsia="en-AU" w:bidi="ar-SA"/>
              </w:rPr>
            </w:pPr>
            <w:r w:rsidRPr="00DE5BDF">
              <w:rPr>
                <w:sz w:val="18"/>
                <w:szCs w:val="18"/>
                <w:lang w:eastAsia="en-AU" w:bidi="ar-SA"/>
              </w:rPr>
              <w:t>Code (section S3-4)</w:t>
            </w:r>
          </w:p>
        </w:tc>
      </w:tr>
      <w:tr w:rsidR="001F46CB" w14:paraId="3032C92D" w14:textId="688D30ED" w:rsidTr="00A61B6C">
        <w:trPr>
          <w:cantSplit/>
          <w:trHeight w:val="283"/>
        </w:trPr>
        <w:tc>
          <w:tcPr>
            <w:tcW w:w="1814" w:type="dxa"/>
            <w:vAlign w:val="center"/>
          </w:tcPr>
          <w:p w14:paraId="75724488" w14:textId="77777777" w:rsidR="001F46CB" w:rsidRPr="00DE5BDF" w:rsidRDefault="001F46CB" w:rsidP="00CE4187">
            <w:pPr>
              <w:pStyle w:val="FSTableText"/>
              <w:rPr>
                <w:sz w:val="18"/>
                <w:szCs w:val="18"/>
                <w:lang w:eastAsia="en-AU" w:bidi="ar-SA"/>
              </w:rPr>
            </w:pPr>
          </w:p>
        </w:tc>
        <w:tc>
          <w:tcPr>
            <w:tcW w:w="1218" w:type="dxa"/>
            <w:vAlign w:val="center"/>
          </w:tcPr>
          <w:p w14:paraId="2CDC60CB" w14:textId="0F3B564E" w:rsidR="001F46CB" w:rsidRPr="00DE5BDF" w:rsidRDefault="00701954" w:rsidP="00CE4187">
            <w:pPr>
              <w:pStyle w:val="FSTableText"/>
              <w:jc w:val="center"/>
              <w:rPr>
                <w:sz w:val="18"/>
                <w:szCs w:val="18"/>
                <w:lang w:eastAsia="en-AU" w:bidi="ar-SA"/>
              </w:rPr>
            </w:pPr>
            <w:r>
              <w:rPr>
                <w:sz w:val="18"/>
                <w:szCs w:val="18"/>
                <w:lang w:eastAsia="en-AU" w:bidi="ar-SA"/>
              </w:rPr>
              <w:t>A</w:t>
            </w:r>
          </w:p>
        </w:tc>
        <w:tc>
          <w:tcPr>
            <w:tcW w:w="1218" w:type="dxa"/>
            <w:vAlign w:val="center"/>
          </w:tcPr>
          <w:p w14:paraId="1D7A2344" w14:textId="337B6D0F" w:rsidR="001F46CB" w:rsidRPr="00DE5BDF" w:rsidRDefault="00701954" w:rsidP="00CE4187">
            <w:pPr>
              <w:pStyle w:val="FSTableText"/>
              <w:jc w:val="center"/>
              <w:rPr>
                <w:sz w:val="18"/>
                <w:szCs w:val="18"/>
                <w:lang w:eastAsia="en-AU" w:bidi="ar-SA"/>
              </w:rPr>
            </w:pPr>
            <w:r>
              <w:rPr>
                <w:sz w:val="18"/>
                <w:szCs w:val="18"/>
                <w:lang w:eastAsia="en-AU" w:bidi="ar-SA"/>
              </w:rPr>
              <w:t>B</w:t>
            </w:r>
          </w:p>
        </w:tc>
        <w:tc>
          <w:tcPr>
            <w:tcW w:w="1218" w:type="dxa"/>
            <w:vAlign w:val="center"/>
          </w:tcPr>
          <w:p w14:paraId="71106AFA" w14:textId="2B9A45F1" w:rsidR="001F46CB" w:rsidRPr="00DE5BDF" w:rsidRDefault="00701954" w:rsidP="00CE4187">
            <w:pPr>
              <w:pStyle w:val="FSTableText"/>
              <w:jc w:val="center"/>
              <w:rPr>
                <w:sz w:val="18"/>
                <w:szCs w:val="18"/>
                <w:lang w:eastAsia="en-AU" w:bidi="ar-SA"/>
              </w:rPr>
            </w:pPr>
            <w:r>
              <w:rPr>
                <w:sz w:val="18"/>
                <w:szCs w:val="18"/>
                <w:lang w:eastAsia="en-AU" w:bidi="ar-SA"/>
              </w:rPr>
              <w:t>C</w:t>
            </w:r>
          </w:p>
        </w:tc>
        <w:tc>
          <w:tcPr>
            <w:tcW w:w="1148" w:type="dxa"/>
            <w:vAlign w:val="center"/>
          </w:tcPr>
          <w:p w14:paraId="1DE4FB46" w14:textId="77777777" w:rsidR="001F46CB" w:rsidRPr="00DE5BDF" w:rsidRDefault="001F46CB" w:rsidP="00CE4187">
            <w:pPr>
              <w:pStyle w:val="FSTableText"/>
              <w:jc w:val="center"/>
              <w:rPr>
                <w:sz w:val="18"/>
                <w:szCs w:val="18"/>
                <w:lang w:eastAsia="en-AU" w:bidi="ar-SA"/>
              </w:rPr>
            </w:pPr>
          </w:p>
        </w:tc>
        <w:tc>
          <w:tcPr>
            <w:tcW w:w="1242" w:type="dxa"/>
            <w:vAlign w:val="center"/>
          </w:tcPr>
          <w:p w14:paraId="7488690B" w14:textId="77777777" w:rsidR="001F46CB" w:rsidRPr="00DE5BDF" w:rsidRDefault="001F46CB" w:rsidP="00CE4187">
            <w:pPr>
              <w:pStyle w:val="FSTableText"/>
              <w:jc w:val="center"/>
              <w:rPr>
                <w:sz w:val="18"/>
                <w:szCs w:val="18"/>
                <w:lang w:eastAsia="en-AU" w:bidi="ar-SA"/>
              </w:rPr>
            </w:pPr>
          </w:p>
        </w:tc>
        <w:tc>
          <w:tcPr>
            <w:tcW w:w="1036" w:type="dxa"/>
          </w:tcPr>
          <w:p w14:paraId="0B9AE8EA" w14:textId="77777777" w:rsidR="001F46CB" w:rsidRPr="00DE5BDF" w:rsidRDefault="001F46CB" w:rsidP="00CE4187">
            <w:pPr>
              <w:pStyle w:val="FSTableText"/>
              <w:jc w:val="center"/>
              <w:rPr>
                <w:sz w:val="18"/>
                <w:szCs w:val="18"/>
                <w:lang w:eastAsia="en-AU" w:bidi="ar-SA"/>
              </w:rPr>
            </w:pPr>
          </w:p>
        </w:tc>
      </w:tr>
      <w:tr w:rsidR="001F46CB" w14:paraId="7693025D" w14:textId="65B8C154" w:rsidTr="00A61B6C">
        <w:trPr>
          <w:cantSplit/>
          <w:trHeight w:val="283"/>
        </w:trPr>
        <w:tc>
          <w:tcPr>
            <w:tcW w:w="7858" w:type="dxa"/>
            <w:gridSpan w:val="6"/>
            <w:shd w:val="clear" w:color="auto" w:fill="BFBFBF" w:themeFill="background1" w:themeFillShade="BF"/>
            <w:vAlign w:val="center"/>
          </w:tcPr>
          <w:p w14:paraId="77E06516" w14:textId="4798DD33" w:rsidR="001F46CB" w:rsidRPr="00DE5BDF" w:rsidRDefault="001F46CB" w:rsidP="00DE5BDF">
            <w:pPr>
              <w:pStyle w:val="FSTableText"/>
              <w:rPr>
                <w:sz w:val="18"/>
                <w:szCs w:val="18"/>
                <w:lang w:eastAsia="en-AU" w:bidi="ar-SA"/>
              </w:rPr>
            </w:pPr>
            <w:r w:rsidRPr="00DE5BDF">
              <w:rPr>
                <w:sz w:val="18"/>
                <w:szCs w:val="18"/>
                <w:lang w:eastAsia="en-AU" w:bidi="ar-SA"/>
              </w:rPr>
              <w:t>Metals</w:t>
            </w:r>
          </w:p>
        </w:tc>
        <w:tc>
          <w:tcPr>
            <w:tcW w:w="1036" w:type="dxa"/>
            <w:shd w:val="clear" w:color="auto" w:fill="BFBFBF" w:themeFill="background1" w:themeFillShade="BF"/>
          </w:tcPr>
          <w:p w14:paraId="7BDD9D03" w14:textId="77777777" w:rsidR="001F46CB" w:rsidRPr="00DE5BDF" w:rsidRDefault="001F46CB" w:rsidP="00DE5BDF">
            <w:pPr>
              <w:pStyle w:val="FSTableText"/>
              <w:rPr>
                <w:sz w:val="18"/>
                <w:szCs w:val="18"/>
                <w:lang w:eastAsia="en-AU" w:bidi="ar-SA"/>
              </w:rPr>
            </w:pPr>
          </w:p>
        </w:tc>
      </w:tr>
      <w:tr w:rsidR="001F46CB" w14:paraId="25144066" w14:textId="4F4170B3" w:rsidTr="00A61B6C">
        <w:trPr>
          <w:cantSplit/>
          <w:trHeight w:val="283"/>
        </w:trPr>
        <w:tc>
          <w:tcPr>
            <w:tcW w:w="1814" w:type="dxa"/>
            <w:vAlign w:val="center"/>
          </w:tcPr>
          <w:p w14:paraId="487F5E8C" w14:textId="77129CDC" w:rsidR="001F46CB" w:rsidRPr="00DE5BDF" w:rsidRDefault="001F46CB" w:rsidP="00C35EA1">
            <w:pPr>
              <w:pStyle w:val="FSTableText"/>
              <w:rPr>
                <w:sz w:val="18"/>
                <w:szCs w:val="18"/>
                <w:lang w:eastAsia="en-AU" w:bidi="ar-SA"/>
              </w:rPr>
            </w:pPr>
            <w:r w:rsidRPr="00DE5BDF">
              <w:rPr>
                <w:sz w:val="18"/>
                <w:szCs w:val="18"/>
                <w:lang w:eastAsia="en-AU" w:bidi="ar-SA"/>
              </w:rPr>
              <w:t>Lead (mg/kg)</w:t>
            </w:r>
          </w:p>
        </w:tc>
        <w:tc>
          <w:tcPr>
            <w:tcW w:w="1218" w:type="dxa"/>
            <w:vAlign w:val="center"/>
          </w:tcPr>
          <w:p w14:paraId="2CFDBCD3" w14:textId="77156F6E" w:rsidR="001F46CB" w:rsidRPr="00DE5BDF" w:rsidRDefault="001F46CB" w:rsidP="00DE5BDF">
            <w:pPr>
              <w:pStyle w:val="FSTableText"/>
              <w:rPr>
                <w:sz w:val="18"/>
                <w:szCs w:val="18"/>
                <w:lang w:eastAsia="en-AU" w:bidi="ar-SA"/>
              </w:rPr>
            </w:pPr>
            <w:r w:rsidRPr="00DE5BDF">
              <w:rPr>
                <w:sz w:val="18"/>
                <w:szCs w:val="18"/>
                <w:lang w:eastAsia="en-AU" w:bidi="ar-SA"/>
              </w:rPr>
              <w:t>&lt;0.05</w:t>
            </w:r>
          </w:p>
        </w:tc>
        <w:tc>
          <w:tcPr>
            <w:tcW w:w="1218" w:type="dxa"/>
          </w:tcPr>
          <w:p w14:paraId="1D41B968" w14:textId="1D345686" w:rsidR="001F46CB" w:rsidRPr="00DE5BDF" w:rsidRDefault="001F46CB" w:rsidP="00DE5BDF">
            <w:pPr>
              <w:pStyle w:val="FSTableText"/>
              <w:rPr>
                <w:sz w:val="18"/>
                <w:szCs w:val="18"/>
                <w:lang w:eastAsia="en-AU" w:bidi="ar-SA"/>
              </w:rPr>
            </w:pPr>
            <w:r w:rsidRPr="00DE5BDF">
              <w:rPr>
                <w:sz w:val="18"/>
                <w:szCs w:val="18"/>
                <w:lang w:eastAsia="en-AU" w:bidi="ar-SA"/>
              </w:rPr>
              <w:t>&lt;0.05</w:t>
            </w:r>
          </w:p>
        </w:tc>
        <w:tc>
          <w:tcPr>
            <w:tcW w:w="1218" w:type="dxa"/>
          </w:tcPr>
          <w:p w14:paraId="595AFD65" w14:textId="7BE80601" w:rsidR="001F46CB" w:rsidRPr="00DE5BDF" w:rsidRDefault="001F46CB" w:rsidP="00DE5BDF">
            <w:pPr>
              <w:pStyle w:val="FSTableText"/>
              <w:rPr>
                <w:sz w:val="18"/>
                <w:szCs w:val="18"/>
                <w:lang w:eastAsia="en-AU" w:bidi="ar-SA"/>
              </w:rPr>
            </w:pPr>
            <w:r w:rsidRPr="00DE5BDF">
              <w:rPr>
                <w:sz w:val="18"/>
                <w:szCs w:val="18"/>
                <w:lang w:eastAsia="en-AU" w:bidi="ar-SA"/>
              </w:rPr>
              <w:t>&lt;0.05</w:t>
            </w:r>
          </w:p>
        </w:tc>
        <w:tc>
          <w:tcPr>
            <w:tcW w:w="1148" w:type="dxa"/>
            <w:vAlign w:val="center"/>
          </w:tcPr>
          <w:p w14:paraId="12B7F20C" w14:textId="7C3CEAD3" w:rsidR="001F46CB" w:rsidRPr="00DE5BDF" w:rsidRDefault="001F46CB" w:rsidP="00DE5BDF">
            <w:pPr>
              <w:pStyle w:val="FSTableText"/>
              <w:rPr>
                <w:sz w:val="18"/>
                <w:szCs w:val="18"/>
                <w:lang w:eastAsia="en-AU" w:bidi="ar-SA"/>
              </w:rPr>
            </w:pPr>
            <w:r w:rsidRPr="00DE5BDF">
              <w:rPr>
                <w:sz w:val="18"/>
                <w:szCs w:val="18"/>
                <w:lang w:eastAsia="en-AU" w:bidi="ar-SA"/>
              </w:rPr>
              <w:t>&lt;5</w:t>
            </w:r>
          </w:p>
        </w:tc>
        <w:tc>
          <w:tcPr>
            <w:tcW w:w="1242" w:type="dxa"/>
            <w:vAlign w:val="center"/>
          </w:tcPr>
          <w:p w14:paraId="35CD6E7B" w14:textId="59450CF9" w:rsidR="001F46CB" w:rsidRPr="00DE5BDF" w:rsidRDefault="00701954" w:rsidP="00DE5BDF">
            <w:pPr>
              <w:pStyle w:val="FSTableText"/>
              <w:rPr>
                <w:sz w:val="18"/>
                <w:szCs w:val="18"/>
                <w:lang w:eastAsia="en-AU" w:bidi="ar-SA"/>
              </w:rPr>
            </w:pPr>
            <w:r>
              <w:rPr>
                <w:sz w:val="18"/>
                <w:szCs w:val="18"/>
                <w:lang w:eastAsia="en-AU" w:bidi="ar-SA"/>
              </w:rPr>
              <w:t>&lt;5</w:t>
            </w:r>
          </w:p>
        </w:tc>
        <w:tc>
          <w:tcPr>
            <w:tcW w:w="1036" w:type="dxa"/>
          </w:tcPr>
          <w:p w14:paraId="1C8D70F3" w14:textId="215F37EB" w:rsidR="001F46CB" w:rsidRPr="00DE5BDF" w:rsidRDefault="00977F7C" w:rsidP="00DE5BDF">
            <w:pPr>
              <w:pStyle w:val="FSTableText"/>
              <w:rPr>
                <w:sz w:val="18"/>
                <w:szCs w:val="18"/>
                <w:lang w:eastAsia="en-AU" w:bidi="ar-SA"/>
              </w:rPr>
            </w:pPr>
            <w:r w:rsidRPr="00DE5BDF">
              <w:rPr>
                <w:sz w:val="18"/>
                <w:szCs w:val="18"/>
                <w:lang w:eastAsia="en-AU" w:bidi="ar-SA"/>
              </w:rPr>
              <w:t>≤</w:t>
            </w:r>
            <w:r w:rsidR="00A84A96" w:rsidRPr="00DE5BDF">
              <w:rPr>
                <w:sz w:val="18"/>
                <w:szCs w:val="18"/>
                <w:lang w:eastAsia="en-AU" w:bidi="ar-SA"/>
              </w:rPr>
              <w:t>2</w:t>
            </w:r>
          </w:p>
        </w:tc>
      </w:tr>
      <w:tr w:rsidR="00FD7A45" w14:paraId="19FEF2B9" w14:textId="77777777" w:rsidTr="00A61B6C">
        <w:trPr>
          <w:cantSplit/>
          <w:trHeight w:val="283"/>
        </w:trPr>
        <w:tc>
          <w:tcPr>
            <w:tcW w:w="1814" w:type="dxa"/>
            <w:vAlign w:val="center"/>
          </w:tcPr>
          <w:p w14:paraId="44D65634" w14:textId="430FEEAC" w:rsidR="00FD7A45" w:rsidRPr="00DE5BDF" w:rsidRDefault="00FD7A45" w:rsidP="00FD7A45">
            <w:pPr>
              <w:pStyle w:val="FSTableText"/>
              <w:rPr>
                <w:sz w:val="18"/>
                <w:szCs w:val="18"/>
                <w:lang w:eastAsia="en-AU" w:bidi="ar-SA"/>
              </w:rPr>
            </w:pPr>
            <w:r w:rsidRPr="00DE5BDF">
              <w:rPr>
                <w:sz w:val="18"/>
                <w:szCs w:val="18"/>
                <w:lang w:eastAsia="en-AU" w:bidi="ar-SA"/>
              </w:rPr>
              <w:t>Arsenic (mg/kg)</w:t>
            </w:r>
          </w:p>
        </w:tc>
        <w:tc>
          <w:tcPr>
            <w:tcW w:w="1218" w:type="dxa"/>
            <w:vAlign w:val="center"/>
          </w:tcPr>
          <w:p w14:paraId="6DB5E773" w14:textId="22DB9ADC" w:rsidR="00FD7A45" w:rsidRPr="00DE5BDF" w:rsidRDefault="00FD7A45" w:rsidP="00DE5BDF">
            <w:pPr>
              <w:pStyle w:val="FSTableText"/>
              <w:rPr>
                <w:sz w:val="18"/>
                <w:szCs w:val="18"/>
                <w:lang w:eastAsia="en-AU" w:bidi="ar-SA"/>
              </w:rPr>
            </w:pPr>
            <w:r w:rsidRPr="00DE5BDF">
              <w:rPr>
                <w:sz w:val="18"/>
                <w:szCs w:val="18"/>
                <w:lang w:eastAsia="en-AU" w:bidi="ar-SA"/>
              </w:rPr>
              <w:t>&lt;0.5</w:t>
            </w:r>
          </w:p>
        </w:tc>
        <w:tc>
          <w:tcPr>
            <w:tcW w:w="1218" w:type="dxa"/>
          </w:tcPr>
          <w:p w14:paraId="767D2075" w14:textId="03861BE0" w:rsidR="00FD7A45" w:rsidRPr="00DE5BDF" w:rsidRDefault="00FD7A45" w:rsidP="00DE5BDF">
            <w:pPr>
              <w:pStyle w:val="FSTableText"/>
              <w:rPr>
                <w:sz w:val="18"/>
                <w:szCs w:val="18"/>
                <w:lang w:eastAsia="en-AU" w:bidi="ar-SA"/>
              </w:rPr>
            </w:pPr>
            <w:r w:rsidRPr="00DE5BDF">
              <w:rPr>
                <w:sz w:val="18"/>
                <w:szCs w:val="18"/>
                <w:lang w:eastAsia="en-AU" w:bidi="ar-SA"/>
              </w:rPr>
              <w:t>&lt;0.5</w:t>
            </w:r>
          </w:p>
        </w:tc>
        <w:tc>
          <w:tcPr>
            <w:tcW w:w="1218" w:type="dxa"/>
          </w:tcPr>
          <w:p w14:paraId="3953281C" w14:textId="4AE81845" w:rsidR="00FD7A45" w:rsidRPr="00DE5BDF" w:rsidRDefault="00FD7A45" w:rsidP="00DE5BDF">
            <w:pPr>
              <w:pStyle w:val="FSTableText"/>
              <w:rPr>
                <w:sz w:val="18"/>
                <w:szCs w:val="18"/>
                <w:lang w:eastAsia="en-AU" w:bidi="ar-SA"/>
              </w:rPr>
            </w:pPr>
            <w:r w:rsidRPr="00DE5BDF">
              <w:rPr>
                <w:sz w:val="18"/>
                <w:szCs w:val="18"/>
                <w:lang w:eastAsia="en-AU" w:bidi="ar-SA"/>
              </w:rPr>
              <w:t>&lt;0.5</w:t>
            </w:r>
          </w:p>
        </w:tc>
        <w:tc>
          <w:tcPr>
            <w:tcW w:w="1148" w:type="dxa"/>
            <w:vAlign w:val="center"/>
          </w:tcPr>
          <w:p w14:paraId="46367A89" w14:textId="77777777" w:rsidR="00FD7A45" w:rsidRPr="00DE5BDF" w:rsidRDefault="00FD7A45" w:rsidP="00DE5BDF">
            <w:pPr>
              <w:pStyle w:val="FSTableText"/>
              <w:rPr>
                <w:sz w:val="18"/>
                <w:szCs w:val="18"/>
                <w:lang w:eastAsia="en-AU" w:bidi="ar-SA"/>
              </w:rPr>
            </w:pPr>
          </w:p>
        </w:tc>
        <w:tc>
          <w:tcPr>
            <w:tcW w:w="1242" w:type="dxa"/>
            <w:vAlign w:val="center"/>
          </w:tcPr>
          <w:p w14:paraId="3307B4BC" w14:textId="77777777" w:rsidR="00FD7A45" w:rsidRPr="00DE5BDF" w:rsidRDefault="00FD7A45" w:rsidP="00DE5BDF">
            <w:pPr>
              <w:pStyle w:val="FSTableText"/>
              <w:rPr>
                <w:sz w:val="18"/>
                <w:szCs w:val="18"/>
                <w:lang w:eastAsia="en-AU" w:bidi="ar-SA"/>
              </w:rPr>
            </w:pPr>
          </w:p>
        </w:tc>
        <w:tc>
          <w:tcPr>
            <w:tcW w:w="1036" w:type="dxa"/>
          </w:tcPr>
          <w:p w14:paraId="49AD5767" w14:textId="31C75162" w:rsidR="00FD7A45" w:rsidRPr="00DE5BDF" w:rsidRDefault="00FD7A45" w:rsidP="00DE5BDF">
            <w:pPr>
              <w:pStyle w:val="FSTableText"/>
              <w:rPr>
                <w:sz w:val="18"/>
                <w:szCs w:val="18"/>
                <w:lang w:eastAsia="en-AU" w:bidi="ar-SA"/>
              </w:rPr>
            </w:pPr>
            <w:r w:rsidRPr="00DE5BDF">
              <w:rPr>
                <w:sz w:val="18"/>
                <w:szCs w:val="18"/>
                <w:lang w:eastAsia="en-AU" w:bidi="ar-SA"/>
              </w:rPr>
              <w:t>≤1</w:t>
            </w:r>
          </w:p>
        </w:tc>
      </w:tr>
      <w:tr w:rsidR="00FD7A45" w14:paraId="3B9C345F" w14:textId="77777777" w:rsidTr="00A61B6C">
        <w:trPr>
          <w:cantSplit/>
          <w:trHeight w:val="283"/>
        </w:trPr>
        <w:tc>
          <w:tcPr>
            <w:tcW w:w="1814" w:type="dxa"/>
            <w:vAlign w:val="center"/>
          </w:tcPr>
          <w:p w14:paraId="65631C85" w14:textId="228123A4" w:rsidR="00FD7A45" w:rsidRPr="00DE5BDF" w:rsidRDefault="00FD7A45" w:rsidP="00FD7A45">
            <w:pPr>
              <w:pStyle w:val="FSTableText"/>
              <w:rPr>
                <w:sz w:val="18"/>
                <w:szCs w:val="18"/>
                <w:lang w:eastAsia="en-AU" w:bidi="ar-SA"/>
              </w:rPr>
            </w:pPr>
            <w:r w:rsidRPr="00DE5BDF">
              <w:rPr>
                <w:sz w:val="18"/>
                <w:szCs w:val="18"/>
                <w:lang w:eastAsia="en-AU" w:bidi="ar-SA"/>
              </w:rPr>
              <w:t>Mercury (mg/kg)</w:t>
            </w:r>
          </w:p>
        </w:tc>
        <w:tc>
          <w:tcPr>
            <w:tcW w:w="1218" w:type="dxa"/>
            <w:vAlign w:val="center"/>
          </w:tcPr>
          <w:p w14:paraId="2649F61B" w14:textId="0C5D8501" w:rsidR="00FD7A45" w:rsidRPr="00DE5BDF" w:rsidRDefault="00FD7A45" w:rsidP="00DE5BDF">
            <w:pPr>
              <w:pStyle w:val="FSTableText"/>
              <w:rPr>
                <w:sz w:val="18"/>
                <w:szCs w:val="18"/>
                <w:lang w:eastAsia="en-AU" w:bidi="ar-SA"/>
              </w:rPr>
            </w:pPr>
            <w:r w:rsidRPr="00DE5BDF">
              <w:rPr>
                <w:sz w:val="18"/>
                <w:szCs w:val="18"/>
                <w:lang w:eastAsia="en-AU" w:bidi="ar-SA"/>
              </w:rPr>
              <w:t>&lt;0.1</w:t>
            </w:r>
          </w:p>
        </w:tc>
        <w:tc>
          <w:tcPr>
            <w:tcW w:w="1218" w:type="dxa"/>
          </w:tcPr>
          <w:p w14:paraId="7E7330D6" w14:textId="6CC0CD45" w:rsidR="00FD7A45" w:rsidRPr="00DE5BDF" w:rsidRDefault="00FD7A45" w:rsidP="00DE5BDF">
            <w:pPr>
              <w:pStyle w:val="FSTableText"/>
              <w:rPr>
                <w:sz w:val="18"/>
                <w:szCs w:val="18"/>
                <w:lang w:eastAsia="en-AU" w:bidi="ar-SA"/>
              </w:rPr>
            </w:pPr>
            <w:r w:rsidRPr="00DE5BDF">
              <w:rPr>
                <w:sz w:val="18"/>
                <w:szCs w:val="18"/>
                <w:lang w:eastAsia="en-AU" w:bidi="ar-SA"/>
              </w:rPr>
              <w:t>&lt;0.1</w:t>
            </w:r>
          </w:p>
        </w:tc>
        <w:tc>
          <w:tcPr>
            <w:tcW w:w="1218" w:type="dxa"/>
          </w:tcPr>
          <w:p w14:paraId="24258970" w14:textId="3B8FBFC9" w:rsidR="00FD7A45" w:rsidRPr="00DE5BDF" w:rsidRDefault="00FD7A45" w:rsidP="00DE5BDF">
            <w:pPr>
              <w:pStyle w:val="FSTableText"/>
              <w:rPr>
                <w:sz w:val="18"/>
                <w:szCs w:val="18"/>
                <w:lang w:eastAsia="en-AU" w:bidi="ar-SA"/>
              </w:rPr>
            </w:pPr>
            <w:r w:rsidRPr="00DE5BDF">
              <w:rPr>
                <w:sz w:val="18"/>
                <w:szCs w:val="18"/>
                <w:lang w:eastAsia="en-AU" w:bidi="ar-SA"/>
              </w:rPr>
              <w:t>&lt;0.1</w:t>
            </w:r>
          </w:p>
        </w:tc>
        <w:tc>
          <w:tcPr>
            <w:tcW w:w="1148" w:type="dxa"/>
            <w:vAlign w:val="center"/>
          </w:tcPr>
          <w:p w14:paraId="4F1665BA" w14:textId="77777777" w:rsidR="00FD7A45" w:rsidRPr="00DE5BDF" w:rsidRDefault="00FD7A45" w:rsidP="00DE5BDF">
            <w:pPr>
              <w:pStyle w:val="FSTableText"/>
              <w:rPr>
                <w:sz w:val="18"/>
                <w:szCs w:val="18"/>
                <w:lang w:eastAsia="en-AU" w:bidi="ar-SA"/>
              </w:rPr>
            </w:pPr>
          </w:p>
        </w:tc>
        <w:tc>
          <w:tcPr>
            <w:tcW w:w="1242" w:type="dxa"/>
            <w:vAlign w:val="center"/>
          </w:tcPr>
          <w:p w14:paraId="29497AD2" w14:textId="77777777" w:rsidR="00FD7A45" w:rsidRPr="00DE5BDF" w:rsidRDefault="00FD7A45" w:rsidP="00DE5BDF">
            <w:pPr>
              <w:pStyle w:val="FSTableText"/>
              <w:rPr>
                <w:sz w:val="18"/>
                <w:szCs w:val="18"/>
                <w:lang w:eastAsia="en-AU" w:bidi="ar-SA"/>
              </w:rPr>
            </w:pPr>
          </w:p>
        </w:tc>
        <w:tc>
          <w:tcPr>
            <w:tcW w:w="1036" w:type="dxa"/>
          </w:tcPr>
          <w:p w14:paraId="02F99380" w14:textId="7DCFA8F3" w:rsidR="00FD7A45" w:rsidRPr="00DE5BDF" w:rsidRDefault="00FD7A45" w:rsidP="00DE5BDF">
            <w:pPr>
              <w:pStyle w:val="FSTableText"/>
              <w:rPr>
                <w:sz w:val="18"/>
                <w:szCs w:val="18"/>
                <w:lang w:eastAsia="en-AU" w:bidi="ar-SA"/>
              </w:rPr>
            </w:pPr>
            <w:r w:rsidRPr="00DE5BDF">
              <w:rPr>
                <w:sz w:val="18"/>
                <w:szCs w:val="18"/>
                <w:lang w:eastAsia="en-AU" w:bidi="ar-SA"/>
              </w:rPr>
              <w:t>≤1</w:t>
            </w:r>
          </w:p>
        </w:tc>
      </w:tr>
      <w:tr w:rsidR="00FD7A45" w14:paraId="7FB95006" w14:textId="77777777" w:rsidTr="00A61B6C">
        <w:trPr>
          <w:cantSplit/>
          <w:trHeight w:val="283"/>
        </w:trPr>
        <w:tc>
          <w:tcPr>
            <w:tcW w:w="1814" w:type="dxa"/>
            <w:vAlign w:val="center"/>
          </w:tcPr>
          <w:p w14:paraId="5F4AC80B" w14:textId="703EBB55" w:rsidR="00FD7A45" w:rsidRPr="00DE5BDF" w:rsidRDefault="00FD7A45" w:rsidP="00FD7A45">
            <w:pPr>
              <w:pStyle w:val="FSTableText"/>
              <w:rPr>
                <w:sz w:val="18"/>
                <w:szCs w:val="18"/>
                <w:lang w:eastAsia="en-AU" w:bidi="ar-SA"/>
              </w:rPr>
            </w:pPr>
            <w:r w:rsidRPr="00DE5BDF">
              <w:rPr>
                <w:sz w:val="18"/>
                <w:szCs w:val="18"/>
                <w:lang w:eastAsia="en-AU" w:bidi="ar-SA"/>
              </w:rPr>
              <w:t>Cadmium (mg/kg)</w:t>
            </w:r>
          </w:p>
        </w:tc>
        <w:tc>
          <w:tcPr>
            <w:tcW w:w="1218" w:type="dxa"/>
            <w:vAlign w:val="center"/>
          </w:tcPr>
          <w:p w14:paraId="52E948BA" w14:textId="4E3F1396" w:rsidR="00FD7A45" w:rsidRPr="00DE5BDF" w:rsidRDefault="00FD7A45" w:rsidP="00DE5BDF">
            <w:pPr>
              <w:pStyle w:val="FSTableText"/>
              <w:rPr>
                <w:sz w:val="18"/>
                <w:szCs w:val="18"/>
                <w:lang w:eastAsia="en-AU" w:bidi="ar-SA"/>
              </w:rPr>
            </w:pPr>
            <w:r w:rsidRPr="00DE5BDF">
              <w:rPr>
                <w:sz w:val="18"/>
                <w:szCs w:val="18"/>
                <w:lang w:eastAsia="en-AU" w:bidi="ar-SA"/>
              </w:rPr>
              <w:t>&lt;0.05</w:t>
            </w:r>
          </w:p>
        </w:tc>
        <w:tc>
          <w:tcPr>
            <w:tcW w:w="1218" w:type="dxa"/>
          </w:tcPr>
          <w:p w14:paraId="5A97F5A4" w14:textId="64DF4EBC" w:rsidR="00FD7A45" w:rsidRPr="00DE5BDF" w:rsidRDefault="00FD7A45" w:rsidP="00DE5BDF">
            <w:pPr>
              <w:pStyle w:val="FSTableText"/>
              <w:rPr>
                <w:sz w:val="18"/>
                <w:szCs w:val="18"/>
                <w:lang w:eastAsia="en-AU" w:bidi="ar-SA"/>
              </w:rPr>
            </w:pPr>
            <w:r w:rsidRPr="00DE5BDF">
              <w:rPr>
                <w:sz w:val="18"/>
                <w:szCs w:val="18"/>
                <w:lang w:eastAsia="en-AU" w:bidi="ar-SA"/>
              </w:rPr>
              <w:t>&lt;0.05</w:t>
            </w:r>
          </w:p>
        </w:tc>
        <w:tc>
          <w:tcPr>
            <w:tcW w:w="1218" w:type="dxa"/>
          </w:tcPr>
          <w:p w14:paraId="12B767E7" w14:textId="65DC7C0E" w:rsidR="00FD7A45" w:rsidRPr="00DE5BDF" w:rsidRDefault="00FD7A45" w:rsidP="00DE5BDF">
            <w:pPr>
              <w:pStyle w:val="FSTableText"/>
              <w:rPr>
                <w:sz w:val="18"/>
                <w:szCs w:val="18"/>
                <w:lang w:eastAsia="en-AU" w:bidi="ar-SA"/>
              </w:rPr>
            </w:pPr>
            <w:r w:rsidRPr="00DE5BDF">
              <w:rPr>
                <w:sz w:val="18"/>
                <w:szCs w:val="18"/>
                <w:lang w:eastAsia="en-AU" w:bidi="ar-SA"/>
              </w:rPr>
              <w:t>&lt;0.05</w:t>
            </w:r>
          </w:p>
        </w:tc>
        <w:tc>
          <w:tcPr>
            <w:tcW w:w="1148" w:type="dxa"/>
            <w:vAlign w:val="center"/>
          </w:tcPr>
          <w:p w14:paraId="2119BBCC" w14:textId="77777777" w:rsidR="00FD7A45" w:rsidRPr="00DE5BDF" w:rsidRDefault="00FD7A45" w:rsidP="00DE5BDF">
            <w:pPr>
              <w:pStyle w:val="FSTableText"/>
              <w:rPr>
                <w:sz w:val="18"/>
                <w:szCs w:val="18"/>
                <w:lang w:eastAsia="en-AU" w:bidi="ar-SA"/>
              </w:rPr>
            </w:pPr>
          </w:p>
        </w:tc>
        <w:tc>
          <w:tcPr>
            <w:tcW w:w="1242" w:type="dxa"/>
            <w:vAlign w:val="center"/>
          </w:tcPr>
          <w:p w14:paraId="73464165" w14:textId="77777777" w:rsidR="00FD7A45" w:rsidRPr="00DE5BDF" w:rsidRDefault="00FD7A45" w:rsidP="00DE5BDF">
            <w:pPr>
              <w:pStyle w:val="FSTableText"/>
              <w:rPr>
                <w:sz w:val="18"/>
                <w:szCs w:val="18"/>
                <w:lang w:eastAsia="en-AU" w:bidi="ar-SA"/>
              </w:rPr>
            </w:pPr>
          </w:p>
        </w:tc>
        <w:tc>
          <w:tcPr>
            <w:tcW w:w="1036" w:type="dxa"/>
          </w:tcPr>
          <w:p w14:paraId="6947BA0C" w14:textId="7CA236D3" w:rsidR="00FD7A45" w:rsidRPr="00DE5BDF" w:rsidRDefault="00FD7A45" w:rsidP="00DE5BDF">
            <w:pPr>
              <w:pStyle w:val="FSTableText"/>
              <w:rPr>
                <w:sz w:val="18"/>
                <w:szCs w:val="18"/>
                <w:lang w:eastAsia="en-AU" w:bidi="ar-SA"/>
              </w:rPr>
            </w:pPr>
            <w:r w:rsidRPr="00DE5BDF">
              <w:rPr>
                <w:sz w:val="18"/>
                <w:szCs w:val="18"/>
                <w:lang w:eastAsia="en-AU" w:bidi="ar-SA"/>
              </w:rPr>
              <w:t>≤1</w:t>
            </w:r>
          </w:p>
        </w:tc>
      </w:tr>
      <w:tr w:rsidR="001F46CB" w14:paraId="4988802F" w14:textId="3C5B725A" w:rsidTr="00A61B6C">
        <w:trPr>
          <w:cantSplit/>
          <w:trHeight w:val="283"/>
        </w:trPr>
        <w:tc>
          <w:tcPr>
            <w:tcW w:w="7858" w:type="dxa"/>
            <w:gridSpan w:val="6"/>
            <w:shd w:val="clear" w:color="auto" w:fill="BFBFBF" w:themeFill="background1" w:themeFillShade="BF"/>
            <w:vAlign w:val="center"/>
          </w:tcPr>
          <w:p w14:paraId="68741CFA" w14:textId="5801C75B" w:rsidR="001F46CB" w:rsidRPr="00DE5BDF" w:rsidRDefault="001F46CB" w:rsidP="00DE5BDF">
            <w:pPr>
              <w:pStyle w:val="FSTableText"/>
              <w:rPr>
                <w:sz w:val="18"/>
                <w:szCs w:val="18"/>
                <w:lang w:eastAsia="en-AU" w:bidi="ar-SA"/>
              </w:rPr>
            </w:pPr>
            <w:r w:rsidRPr="00DE5BDF">
              <w:rPr>
                <w:sz w:val="18"/>
                <w:szCs w:val="18"/>
                <w:lang w:eastAsia="en-AU" w:bidi="ar-SA"/>
              </w:rPr>
              <w:t>Microbiology</w:t>
            </w:r>
          </w:p>
        </w:tc>
        <w:tc>
          <w:tcPr>
            <w:tcW w:w="1036" w:type="dxa"/>
            <w:shd w:val="clear" w:color="auto" w:fill="BFBFBF" w:themeFill="background1" w:themeFillShade="BF"/>
          </w:tcPr>
          <w:p w14:paraId="1B3EC8B4" w14:textId="77777777" w:rsidR="001F46CB" w:rsidRPr="00DE5BDF" w:rsidRDefault="001F46CB" w:rsidP="00DE5BDF">
            <w:pPr>
              <w:pStyle w:val="FSTableText"/>
              <w:rPr>
                <w:sz w:val="18"/>
                <w:szCs w:val="18"/>
                <w:lang w:eastAsia="en-AU" w:bidi="ar-SA"/>
              </w:rPr>
            </w:pPr>
          </w:p>
        </w:tc>
      </w:tr>
      <w:tr w:rsidR="001F46CB" w14:paraId="2617A798" w14:textId="693B2C60" w:rsidTr="00A61B6C">
        <w:trPr>
          <w:cantSplit/>
          <w:trHeight w:val="283"/>
        </w:trPr>
        <w:tc>
          <w:tcPr>
            <w:tcW w:w="1814" w:type="dxa"/>
            <w:vAlign w:val="center"/>
          </w:tcPr>
          <w:p w14:paraId="14F7491F" w14:textId="77777777" w:rsidR="001F46CB" w:rsidRPr="00DE5BDF" w:rsidRDefault="001F46CB" w:rsidP="00CE4187">
            <w:pPr>
              <w:pStyle w:val="FSTableText"/>
              <w:rPr>
                <w:sz w:val="18"/>
                <w:szCs w:val="18"/>
                <w:lang w:eastAsia="en-AU" w:bidi="ar-SA"/>
              </w:rPr>
            </w:pPr>
            <w:r w:rsidRPr="00DE5BDF">
              <w:rPr>
                <w:sz w:val="18"/>
                <w:szCs w:val="18"/>
                <w:lang w:eastAsia="en-AU" w:bidi="ar-SA"/>
              </w:rPr>
              <w:t>Coliforms (cfu/g)</w:t>
            </w:r>
          </w:p>
        </w:tc>
        <w:tc>
          <w:tcPr>
            <w:tcW w:w="1218" w:type="dxa"/>
            <w:vAlign w:val="center"/>
          </w:tcPr>
          <w:p w14:paraId="0D981489" w14:textId="055E4A91" w:rsidR="001F46CB" w:rsidRPr="00DE5BDF" w:rsidRDefault="001F46CB" w:rsidP="00DE5BDF">
            <w:pPr>
              <w:pStyle w:val="FSTableText"/>
              <w:rPr>
                <w:sz w:val="18"/>
                <w:szCs w:val="18"/>
                <w:lang w:eastAsia="en-AU" w:bidi="ar-SA"/>
              </w:rPr>
            </w:pPr>
            <w:r w:rsidRPr="00DE5BDF">
              <w:rPr>
                <w:sz w:val="18"/>
                <w:szCs w:val="18"/>
                <w:lang w:eastAsia="en-AU" w:bidi="ar-SA"/>
              </w:rPr>
              <w:t>&lt;10</w:t>
            </w:r>
          </w:p>
        </w:tc>
        <w:tc>
          <w:tcPr>
            <w:tcW w:w="1218" w:type="dxa"/>
            <w:vAlign w:val="center"/>
          </w:tcPr>
          <w:p w14:paraId="1E587AE7" w14:textId="2D7BFAC1" w:rsidR="001F46CB" w:rsidRPr="00DE5BDF" w:rsidRDefault="001F46CB" w:rsidP="00DE5BDF">
            <w:pPr>
              <w:pStyle w:val="FSTableText"/>
              <w:rPr>
                <w:sz w:val="18"/>
                <w:szCs w:val="18"/>
                <w:lang w:eastAsia="en-AU" w:bidi="ar-SA"/>
              </w:rPr>
            </w:pPr>
            <w:r w:rsidRPr="00DE5BDF">
              <w:rPr>
                <w:sz w:val="18"/>
                <w:szCs w:val="18"/>
                <w:lang w:eastAsia="en-AU" w:bidi="ar-SA"/>
              </w:rPr>
              <w:t>&lt;10</w:t>
            </w:r>
          </w:p>
        </w:tc>
        <w:tc>
          <w:tcPr>
            <w:tcW w:w="1218" w:type="dxa"/>
            <w:vAlign w:val="center"/>
          </w:tcPr>
          <w:p w14:paraId="6DBCE959" w14:textId="43CACA4A" w:rsidR="001F46CB" w:rsidRPr="00DE5BDF" w:rsidRDefault="001F46CB" w:rsidP="00DE5BDF">
            <w:pPr>
              <w:pStyle w:val="FSTableText"/>
              <w:rPr>
                <w:sz w:val="18"/>
                <w:szCs w:val="18"/>
                <w:lang w:eastAsia="en-AU" w:bidi="ar-SA"/>
              </w:rPr>
            </w:pPr>
            <w:r w:rsidRPr="00DE5BDF">
              <w:rPr>
                <w:sz w:val="18"/>
                <w:szCs w:val="18"/>
                <w:lang w:eastAsia="en-AU" w:bidi="ar-SA"/>
              </w:rPr>
              <w:t>&lt;10</w:t>
            </w:r>
          </w:p>
        </w:tc>
        <w:tc>
          <w:tcPr>
            <w:tcW w:w="1148" w:type="dxa"/>
            <w:vAlign w:val="center"/>
          </w:tcPr>
          <w:p w14:paraId="0350F94A" w14:textId="6A1B58DD" w:rsidR="001F46CB" w:rsidRPr="00DE5BDF" w:rsidRDefault="001F46CB" w:rsidP="00DE5BDF">
            <w:pPr>
              <w:pStyle w:val="FSTableText"/>
              <w:rPr>
                <w:sz w:val="18"/>
                <w:szCs w:val="18"/>
                <w:lang w:eastAsia="en-AU" w:bidi="ar-SA"/>
              </w:rPr>
            </w:pPr>
            <w:r w:rsidRPr="00DE5BDF">
              <w:rPr>
                <w:sz w:val="18"/>
                <w:szCs w:val="18"/>
                <w:lang w:eastAsia="en-AU" w:bidi="ar-SA"/>
              </w:rPr>
              <w:t>&lt;30</w:t>
            </w:r>
          </w:p>
        </w:tc>
        <w:tc>
          <w:tcPr>
            <w:tcW w:w="1242" w:type="dxa"/>
            <w:vAlign w:val="center"/>
          </w:tcPr>
          <w:p w14:paraId="54784C65" w14:textId="2D22F43E" w:rsidR="001F46CB" w:rsidRPr="00DE5BDF" w:rsidRDefault="00701954" w:rsidP="00DE5BDF">
            <w:pPr>
              <w:pStyle w:val="FSTableText"/>
              <w:rPr>
                <w:sz w:val="18"/>
                <w:szCs w:val="18"/>
                <w:lang w:eastAsia="en-AU" w:bidi="ar-SA"/>
              </w:rPr>
            </w:pPr>
            <w:r>
              <w:rPr>
                <w:sz w:val="18"/>
                <w:szCs w:val="18"/>
                <w:lang w:eastAsia="en-AU" w:bidi="ar-SA"/>
              </w:rPr>
              <w:t>&lt;30</w:t>
            </w:r>
          </w:p>
        </w:tc>
        <w:tc>
          <w:tcPr>
            <w:tcW w:w="1036" w:type="dxa"/>
          </w:tcPr>
          <w:p w14:paraId="1E2250C5" w14:textId="77777777" w:rsidR="001F46CB" w:rsidRPr="00DE5BDF" w:rsidRDefault="001F46CB" w:rsidP="00DE5BDF">
            <w:pPr>
              <w:pStyle w:val="FSTableText"/>
              <w:rPr>
                <w:sz w:val="18"/>
                <w:szCs w:val="18"/>
                <w:lang w:eastAsia="en-AU" w:bidi="ar-SA"/>
              </w:rPr>
            </w:pPr>
          </w:p>
        </w:tc>
      </w:tr>
      <w:tr w:rsidR="001F46CB" w14:paraId="631B4347" w14:textId="1EACE044" w:rsidTr="00A61B6C">
        <w:trPr>
          <w:cantSplit/>
          <w:trHeight w:val="283"/>
        </w:trPr>
        <w:tc>
          <w:tcPr>
            <w:tcW w:w="1814" w:type="dxa"/>
            <w:vAlign w:val="center"/>
          </w:tcPr>
          <w:p w14:paraId="74854815" w14:textId="77777777" w:rsidR="001F46CB" w:rsidRPr="00DE5BDF" w:rsidRDefault="001F46CB" w:rsidP="00CE4187">
            <w:pPr>
              <w:pStyle w:val="FSTableText"/>
              <w:rPr>
                <w:i/>
                <w:sz w:val="18"/>
                <w:szCs w:val="18"/>
                <w:lang w:eastAsia="en-AU" w:bidi="ar-SA"/>
              </w:rPr>
            </w:pPr>
            <w:r w:rsidRPr="00DE5BDF">
              <w:rPr>
                <w:i/>
                <w:sz w:val="18"/>
                <w:szCs w:val="18"/>
                <w:lang w:eastAsia="en-AU" w:bidi="ar-SA"/>
              </w:rPr>
              <w:t>E. coli</w:t>
            </w:r>
            <w:r w:rsidRPr="00DE5BDF">
              <w:rPr>
                <w:sz w:val="18"/>
                <w:szCs w:val="18"/>
                <w:lang w:eastAsia="en-AU" w:bidi="ar-SA"/>
              </w:rPr>
              <w:t xml:space="preserve"> (in 25 g)</w:t>
            </w:r>
          </w:p>
        </w:tc>
        <w:tc>
          <w:tcPr>
            <w:tcW w:w="1218" w:type="dxa"/>
            <w:vAlign w:val="center"/>
          </w:tcPr>
          <w:p w14:paraId="68933903" w14:textId="568CD177" w:rsidR="001F46CB" w:rsidRPr="00DE5BDF" w:rsidRDefault="001F46CB" w:rsidP="00DE5BDF">
            <w:pPr>
              <w:pStyle w:val="FSTableText"/>
              <w:rPr>
                <w:sz w:val="18"/>
                <w:szCs w:val="18"/>
                <w:lang w:eastAsia="en-AU" w:bidi="ar-SA"/>
              </w:rPr>
            </w:pPr>
            <w:r w:rsidRPr="00DE5BDF">
              <w:rPr>
                <w:sz w:val="18"/>
                <w:szCs w:val="18"/>
                <w:lang w:eastAsia="en-AU" w:bidi="ar-SA"/>
              </w:rPr>
              <w:t>ND</w:t>
            </w:r>
          </w:p>
        </w:tc>
        <w:tc>
          <w:tcPr>
            <w:tcW w:w="1218" w:type="dxa"/>
            <w:vAlign w:val="center"/>
          </w:tcPr>
          <w:p w14:paraId="72FF1781" w14:textId="2462E349" w:rsidR="001F46CB" w:rsidRPr="00DE5BDF" w:rsidRDefault="001F46CB" w:rsidP="00DE5BDF">
            <w:pPr>
              <w:pStyle w:val="FSTableText"/>
              <w:rPr>
                <w:sz w:val="18"/>
                <w:szCs w:val="18"/>
                <w:lang w:eastAsia="en-AU" w:bidi="ar-SA"/>
              </w:rPr>
            </w:pPr>
            <w:r w:rsidRPr="00DE5BDF">
              <w:rPr>
                <w:sz w:val="18"/>
                <w:szCs w:val="18"/>
                <w:lang w:eastAsia="en-AU" w:bidi="ar-SA"/>
              </w:rPr>
              <w:t>ND</w:t>
            </w:r>
          </w:p>
        </w:tc>
        <w:tc>
          <w:tcPr>
            <w:tcW w:w="1218" w:type="dxa"/>
            <w:vAlign w:val="center"/>
          </w:tcPr>
          <w:p w14:paraId="382B53FA" w14:textId="1876D68E" w:rsidR="001F46CB" w:rsidRPr="00DE5BDF" w:rsidRDefault="001F46CB" w:rsidP="00DE5BDF">
            <w:pPr>
              <w:pStyle w:val="FSTableText"/>
              <w:rPr>
                <w:sz w:val="18"/>
                <w:szCs w:val="18"/>
                <w:lang w:eastAsia="en-AU" w:bidi="ar-SA"/>
              </w:rPr>
            </w:pPr>
            <w:r w:rsidRPr="00DE5BDF">
              <w:rPr>
                <w:sz w:val="18"/>
                <w:szCs w:val="18"/>
                <w:lang w:eastAsia="en-AU" w:bidi="ar-SA"/>
              </w:rPr>
              <w:t>ND</w:t>
            </w:r>
          </w:p>
        </w:tc>
        <w:tc>
          <w:tcPr>
            <w:tcW w:w="1148" w:type="dxa"/>
            <w:vAlign w:val="center"/>
          </w:tcPr>
          <w:p w14:paraId="71416B85" w14:textId="26CA981A" w:rsidR="001F46CB" w:rsidRPr="00DE5BDF" w:rsidRDefault="001F46CB" w:rsidP="00DE5BDF">
            <w:pPr>
              <w:pStyle w:val="FSTableText"/>
              <w:rPr>
                <w:sz w:val="18"/>
                <w:szCs w:val="18"/>
                <w:lang w:eastAsia="en-AU" w:bidi="ar-SA"/>
              </w:rPr>
            </w:pPr>
            <w:r w:rsidRPr="00DE5BDF">
              <w:rPr>
                <w:sz w:val="18"/>
                <w:szCs w:val="18"/>
                <w:lang w:eastAsia="en-AU" w:bidi="ar-SA"/>
              </w:rPr>
              <w:t>Absent</w:t>
            </w:r>
          </w:p>
        </w:tc>
        <w:tc>
          <w:tcPr>
            <w:tcW w:w="1242" w:type="dxa"/>
            <w:vAlign w:val="center"/>
          </w:tcPr>
          <w:p w14:paraId="75C6B504" w14:textId="77777777" w:rsidR="001F46CB" w:rsidRPr="00DE5BDF" w:rsidRDefault="001F46CB" w:rsidP="00DE5BDF">
            <w:pPr>
              <w:pStyle w:val="FSTableText"/>
              <w:rPr>
                <w:sz w:val="18"/>
                <w:szCs w:val="18"/>
                <w:lang w:eastAsia="en-AU" w:bidi="ar-SA"/>
              </w:rPr>
            </w:pPr>
          </w:p>
        </w:tc>
        <w:tc>
          <w:tcPr>
            <w:tcW w:w="1036" w:type="dxa"/>
          </w:tcPr>
          <w:p w14:paraId="69244A9F" w14:textId="77777777" w:rsidR="001F46CB" w:rsidRPr="00DE5BDF" w:rsidRDefault="001F46CB" w:rsidP="00DE5BDF">
            <w:pPr>
              <w:pStyle w:val="FSTableText"/>
              <w:rPr>
                <w:sz w:val="18"/>
                <w:szCs w:val="18"/>
                <w:lang w:eastAsia="en-AU" w:bidi="ar-SA"/>
              </w:rPr>
            </w:pPr>
          </w:p>
        </w:tc>
      </w:tr>
      <w:tr w:rsidR="001F46CB" w14:paraId="44718F18" w14:textId="2EB371F0" w:rsidTr="00A61B6C">
        <w:trPr>
          <w:cantSplit/>
          <w:trHeight w:val="283"/>
        </w:trPr>
        <w:tc>
          <w:tcPr>
            <w:tcW w:w="1814" w:type="dxa"/>
            <w:vAlign w:val="center"/>
          </w:tcPr>
          <w:p w14:paraId="27F0D921" w14:textId="77777777" w:rsidR="001F46CB" w:rsidRPr="00DE5BDF" w:rsidRDefault="001F46CB" w:rsidP="00CE4187">
            <w:pPr>
              <w:pStyle w:val="FSTableText"/>
              <w:rPr>
                <w:sz w:val="18"/>
                <w:szCs w:val="18"/>
                <w:lang w:eastAsia="en-AU" w:bidi="ar-SA"/>
              </w:rPr>
            </w:pPr>
            <w:r w:rsidRPr="00DE5BDF">
              <w:rPr>
                <w:i/>
                <w:sz w:val="18"/>
                <w:szCs w:val="18"/>
                <w:lang w:eastAsia="en-AU" w:bidi="ar-SA"/>
              </w:rPr>
              <w:t>Salmonella</w:t>
            </w:r>
            <w:r w:rsidRPr="00DE5BDF">
              <w:rPr>
                <w:sz w:val="18"/>
                <w:szCs w:val="18"/>
                <w:lang w:eastAsia="en-AU" w:bidi="ar-SA"/>
              </w:rPr>
              <w:t xml:space="preserve"> (in 25 g)</w:t>
            </w:r>
          </w:p>
        </w:tc>
        <w:tc>
          <w:tcPr>
            <w:tcW w:w="1218" w:type="dxa"/>
            <w:vAlign w:val="center"/>
          </w:tcPr>
          <w:p w14:paraId="72C54144" w14:textId="006B842F" w:rsidR="001F46CB" w:rsidRPr="00DE5BDF" w:rsidRDefault="001F46CB" w:rsidP="00DE5BDF">
            <w:pPr>
              <w:pStyle w:val="FSTableText"/>
              <w:rPr>
                <w:sz w:val="18"/>
                <w:szCs w:val="18"/>
                <w:lang w:eastAsia="en-AU" w:bidi="ar-SA"/>
              </w:rPr>
            </w:pPr>
            <w:r w:rsidRPr="00DE5BDF">
              <w:rPr>
                <w:sz w:val="18"/>
                <w:szCs w:val="18"/>
                <w:lang w:eastAsia="en-AU" w:bidi="ar-SA"/>
              </w:rPr>
              <w:t>ND</w:t>
            </w:r>
          </w:p>
        </w:tc>
        <w:tc>
          <w:tcPr>
            <w:tcW w:w="1218" w:type="dxa"/>
            <w:vAlign w:val="center"/>
          </w:tcPr>
          <w:p w14:paraId="1465B808" w14:textId="173738F7" w:rsidR="001F46CB" w:rsidRPr="00DE5BDF" w:rsidRDefault="001F46CB" w:rsidP="00DE5BDF">
            <w:pPr>
              <w:pStyle w:val="FSTableText"/>
              <w:rPr>
                <w:sz w:val="18"/>
                <w:szCs w:val="18"/>
                <w:lang w:eastAsia="en-AU" w:bidi="ar-SA"/>
              </w:rPr>
            </w:pPr>
            <w:r w:rsidRPr="00DE5BDF">
              <w:rPr>
                <w:sz w:val="18"/>
                <w:szCs w:val="18"/>
                <w:lang w:eastAsia="en-AU" w:bidi="ar-SA"/>
              </w:rPr>
              <w:t>ND</w:t>
            </w:r>
          </w:p>
        </w:tc>
        <w:tc>
          <w:tcPr>
            <w:tcW w:w="1218" w:type="dxa"/>
            <w:vAlign w:val="center"/>
          </w:tcPr>
          <w:p w14:paraId="5DC694C3" w14:textId="63969550" w:rsidR="001F46CB" w:rsidRPr="00DE5BDF" w:rsidRDefault="001F46CB" w:rsidP="00DE5BDF">
            <w:pPr>
              <w:pStyle w:val="FSTableText"/>
              <w:rPr>
                <w:sz w:val="18"/>
                <w:szCs w:val="18"/>
                <w:lang w:eastAsia="en-AU" w:bidi="ar-SA"/>
              </w:rPr>
            </w:pPr>
            <w:r w:rsidRPr="00DE5BDF">
              <w:rPr>
                <w:sz w:val="18"/>
                <w:szCs w:val="18"/>
                <w:lang w:eastAsia="en-AU" w:bidi="ar-SA"/>
              </w:rPr>
              <w:t>ND</w:t>
            </w:r>
          </w:p>
        </w:tc>
        <w:tc>
          <w:tcPr>
            <w:tcW w:w="1148" w:type="dxa"/>
            <w:vAlign w:val="center"/>
          </w:tcPr>
          <w:p w14:paraId="2645EB83" w14:textId="0796778A" w:rsidR="001F46CB" w:rsidRPr="00DE5BDF" w:rsidRDefault="001F46CB" w:rsidP="00DE5BDF">
            <w:pPr>
              <w:pStyle w:val="FSTableText"/>
              <w:rPr>
                <w:sz w:val="18"/>
                <w:szCs w:val="18"/>
                <w:lang w:eastAsia="en-AU" w:bidi="ar-SA"/>
              </w:rPr>
            </w:pPr>
            <w:r w:rsidRPr="00DE5BDF">
              <w:rPr>
                <w:sz w:val="18"/>
                <w:szCs w:val="18"/>
                <w:lang w:eastAsia="en-AU" w:bidi="ar-SA"/>
              </w:rPr>
              <w:t>Absent</w:t>
            </w:r>
          </w:p>
        </w:tc>
        <w:tc>
          <w:tcPr>
            <w:tcW w:w="1242" w:type="dxa"/>
            <w:vAlign w:val="center"/>
          </w:tcPr>
          <w:p w14:paraId="6368BEEE" w14:textId="20CB451D" w:rsidR="001F46CB" w:rsidRPr="00DE5BDF" w:rsidRDefault="00701954" w:rsidP="00DE5BDF">
            <w:pPr>
              <w:pStyle w:val="FSTableText"/>
              <w:rPr>
                <w:sz w:val="18"/>
                <w:szCs w:val="18"/>
                <w:lang w:eastAsia="en-AU" w:bidi="ar-SA"/>
              </w:rPr>
            </w:pPr>
            <w:r>
              <w:rPr>
                <w:sz w:val="18"/>
                <w:szCs w:val="18"/>
                <w:lang w:eastAsia="en-AU" w:bidi="ar-SA"/>
              </w:rPr>
              <w:t>Negative</w:t>
            </w:r>
          </w:p>
        </w:tc>
        <w:tc>
          <w:tcPr>
            <w:tcW w:w="1036" w:type="dxa"/>
          </w:tcPr>
          <w:p w14:paraId="3526D423" w14:textId="77777777" w:rsidR="001F46CB" w:rsidRPr="00DE5BDF" w:rsidRDefault="001F46CB" w:rsidP="00DE5BDF">
            <w:pPr>
              <w:pStyle w:val="FSTableText"/>
              <w:rPr>
                <w:sz w:val="18"/>
                <w:szCs w:val="18"/>
                <w:lang w:eastAsia="en-AU" w:bidi="ar-SA"/>
              </w:rPr>
            </w:pPr>
          </w:p>
        </w:tc>
      </w:tr>
      <w:tr w:rsidR="001F46CB" w14:paraId="42F0444D" w14:textId="5DD0AEF8" w:rsidTr="00A61B6C">
        <w:trPr>
          <w:cantSplit/>
          <w:trHeight w:val="283"/>
        </w:trPr>
        <w:tc>
          <w:tcPr>
            <w:tcW w:w="1814" w:type="dxa"/>
            <w:vAlign w:val="center"/>
          </w:tcPr>
          <w:p w14:paraId="538B755E" w14:textId="77777777" w:rsidR="001F46CB" w:rsidRPr="00DE5BDF" w:rsidRDefault="001F46CB" w:rsidP="00CE4187">
            <w:pPr>
              <w:pStyle w:val="FSTableText"/>
              <w:rPr>
                <w:sz w:val="18"/>
                <w:szCs w:val="18"/>
                <w:lang w:eastAsia="en-AU" w:bidi="ar-SA"/>
              </w:rPr>
            </w:pPr>
            <w:r w:rsidRPr="00DE5BDF">
              <w:rPr>
                <w:sz w:val="18"/>
                <w:szCs w:val="18"/>
                <w:lang w:eastAsia="en-AU" w:bidi="ar-SA"/>
              </w:rPr>
              <w:t>Antibiotic activity</w:t>
            </w:r>
          </w:p>
        </w:tc>
        <w:tc>
          <w:tcPr>
            <w:tcW w:w="1218" w:type="dxa"/>
            <w:vAlign w:val="center"/>
          </w:tcPr>
          <w:p w14:paraId="3EE7F07D" w14:textId="05838822" w:rsidR="001F46CB" w:rsidRPr="00DE5BDF" w:rsidRDefault="001F46CB" w:rsidP="00DE5BDF">
            <w:pPr>
              <w:pStyle w:val="FSTableText"/>
              <w:rPr>
                <w:sz w:val="18"/>
                <w:szCs w:val="18"/>
                <w:lang w:eastAsia="en-AU" w:bidi="ar-SA"/>
              </w:rPr>
            </w:pPr>
            <w:r w:rsidRPr="00DE5BDF">
              <w:rPr>
                <w:sz w:val="18"/>
                <w:szCs w:val="18"/>
                <w:lang w:eastAsia="en-AU" w:bidi="ar-SA"/>
              </w:rPr>
              <w:t>ND</w:t>
            </w:r>
          </w:p>
        </w:tc>
        <w:tc>
          <w:tcPr>
            <w:tcW w:w="1218" w:type="dxa"/>
            <w:vAlign w:val="center"/>
          </w:tcPr>
          <w:p w14:paraId="6301CCE4" w14:textId="536B7D5B" w:rsidR="001F46CB" w:rsidRPr="00DE5BDF" w:rsidRDefault="001F46CB" w:rsidP="00DE5BDF">
            <w:pPr>
              <w:pStyle w:val="FSTableText"/>
              <w:rPr>
                <w:sz w:val="18"/>
                <w:szCs w:val="18"/>
                <w:lang w:eastAsia="en-AU" w:bidi="ar-SA"/>
              </w:rPr>
            </w:pPr>
            <w:r w:rsidRPr="00DE5BDF">
              <w:rPr>
                <w:sz w:val="18"/>
                <w:szCs w:val="18"/>
                <w:lang w:eastAsia="en-AU" w:bidi="ar-SA"/>
              </w:rPr>
              <w:t>ND</w:t>
            </w:r>
          </w:p>
        </w:tc>
        <w:tc>
          <w:tcPr>
            <w:tcW w:w="1218" w:type="dxa"/>
            <w:vAlign w:val="center"/>
          </w:tcPr>
          <w:p w14:paraId="28227556" w14:textId="784D49CF" w:rsidR="001F46CB" w:rsidRPr="00DE5BDF" w:rsidRDefault="001F46CB" w:rsidP="00DE5BDF">
            <w:pPr>
              <w:pStyle w:val="FSTableText"/>
              <w:rPr>
                <w:sz w:val="18"/>
                <w:szCs w:val="18"/>
                <w:lang w:eastAsia="en-AU" w:bidi="ar-SA"/>
              </w:rPr>
            </w:pPr>
            <w:r w:rsidRPr="00DE5BDF">
              <w:rPr>
                <w:sz w:val="18"/>
                <w:szCs w:val="18"/>
                <w:lang w:eastAsia="en-AU" w:bidi="ar-SA"/>
              </w:rPr>
              <w:t>ND</w:t>
            </w:r>
          </w:p>
        </w:tc>
        <w:tc>
          <w:tcPr>
            <w:tcW w:w="1148" w:type="dxa"/>
            <w:vAlign w:val="center"/>
          </w:tcPr>
          <w:p w14:paraId="4CFC2415" w14:textId="793C19E7" w:rsidR="001F46CB" w:rsidRPr="00DE5BDF" w:rsidRDefault="001F46CB" w:rsidP="00DE5BDF">
            <w:pPr>
              <w:pStyle w:val="FSTableText"/>
              <w:rPr>
                <w:sz w:val="18"/>
                <w:szCs w:val="18"/>
                <w:lang w:eastAsia="en-AU" w:bidi="ar-SA"/>
              </w:rPr>
            </w:pPr>
            <w:r w:rsidRPr="00DE5BDF">
              <w:rPr>
                <w:sz w:val="18"/>
                <w:szCs w:val="18"/>
                <w:lang w:eastAsia="en-AU" w:bidi="ar-SA"/>
              </w:rPr>
              <w:t>Absent</w:t>
            </w:r>
          </w:p>
        </w:tc>
        <w:tc>
          <w:tcPr>
            <w:tcW w:w="1242" w:type="dxa"/>
            <w:vAlign w:val="center"/>
          </w:tcPr>
          <w:p w14:paraId="00010A2E" w14:textId="77777777" w:rsidR="001F46CB" w:rsidRPr="00DE5BDF" w:rsidRDefault="001F46CB" w:rsidP="00DE5BDF">
            <w:pPr>
              <w:pStyle w:val="FSTableText"/>
              <w:rPr>
                <w:sz w:val="18"/>
                <w:szCs w:val="18"/>
                <w:lang w:eastAsia="en-AU" w:bidi="ar-SA"/>
              </w:rPr>
            </w:pPr>
          </w:p>
        </w:tc>
        <w:tc>
          <w:tcPr>
            <w:tcW w:w="1036" w:type="dxa"/>
          </w:tcPr>
          <w:p w14:paraId="29D556B5" w14:textId="77777777" w:rsidR="001F46CB" w:rsidRPr="00DE5BDF" w:rsidRDefault="001F46CB" w:rsidP="00DE5BDF">
            <w:pPr>
              <w:pStyle w:val="FSTableText"/>
              <w:rPr>
                <w:sz w:val="18"/>
                <w:szCs w:val="18"/>
                <w:lang w:eastAsia="en-AU" w:bidi="ar-SA"/>
              </w:rPr>
            </w:pPr>
          </w:p>
        </w:tc>
      </w:tr>
    </w:tbl>
    <w:p w14:paraId="167923A8" w14:textId="77777777" w:rsidR="00556E37" w:rsidRPr="00F0577C" w:rsidRDefault="00556E37" w:rsidP="00556E37">
      <w:pPr>
        <w:spacing w:before="60"/>
        <w:ind w:left="284"/>
        <w:jc w:val="both"/>
        <w:rPr>
          <w:lang w:eastAsia="en-AU" w:bidi="ar-SA"/>
        </w:rPr>
      </w:pPr>
      <w:r w:rsidRPr="00227767">
        <w:rPr>
          <w:rFonts w:cs="Arial"/>
          <w:sz w:val="18"/>
          <w:lang w:eastAsia="en-AU" w:bidi="ar-SA"/>
        </w:rPr>
        <w:t>†</w:t>
      </w:r>
      <w:r w:rsidRPr="00227767">
        <w:rPr>
          <w:sz w:val="18"/>
          <w:lang w:eastAsia="en-AU" w:bidi="ar-SA"/>
        </w:rPr>
        <w:t xml:space="preserve"> ND: not detected</w:t>
      </w:r>
    </w:p>
    <w:p w14:paraId="08BE6864" w14:textId="77777777" w:rsidR="006A558D" w:rsidRDefault="006A558D">
      <w:pPr>
        <w:widowControl/>
        <w:rPr>
          <w:rFonts w:cs="Arial"/>
          <w:b/>
          <w:bCs/>
          <w:kern w:val="32"/>
          <w:szCs w:val="32"/>
          <w:lang w:eastAsia="en-AU" w:bidi="ar-SA"/>
        </w:rPr>
      </w:pPr>
      <w:bookmarkStart w:id="19" w:name="_Toc499282432"/>
      <w:r>
        <w:br w:type="page"/>
      </w:r>
    </w:p>
    <w:p w14:paraId="26C3142E" w14:textId="45B9ECCE" w:rsidR="00535162" w:rsidRPr="00D67005" w:rsidRDefault="00535162" w:rsidP="00D67005">
      <w:pPr>
        <w:pStyle w:val="FSCh3Standard"/>
      </w:pPr>
      <w:bookmarkStart w:id="20" w:name="_Toc505255632"/>
      <w:r>
        <w:t>2.</w:t>
      </w:r>
      <w:r w:rsidR="00F624BA">
        <w:t>4</w:t>
      </w:r>
      <w:r>
        <w:t xml:space="preserve"> Technological purpose</w:t>
      </w:r>
      <w:bookmarkEnd w:id="19"/>
      <w:bookmarkEnd w:id="20"/>
    </w:p>
    <w:p w14:paraId="6073EAC6" w14:textId="23594C84" w:rsidR="00BF127E" w:rsidRDefault="003D24F4" w:rsidP="003D24F4">
      <w:pPr>
        <w:rPr>
          <w:rFonts w:cs="Arial"/>
        </w:rPr>
      </w:pPr>
      <w:r>
        <w:rPr>
          <w:lang w:bidi="ar-SA"/>
        </w:rPr>
        <w:t xml:space="preserve">The technological purpose of adding </w:t>
      </w:r>
      <w:r w:rsidR="00AA3A87">
        <w:rPr>
          <w:rFonts w:cs="Arial"/>
        </w:rPr>
        <w:t>e</w:t>
      </w:r>
      <w:r>
        <w:rPr>
          <w:rFonts w:cs="Arial"/>
        </w:rPr>
        <w:t xml:space="preserve">ndo-1,4-β-xylanase as </w:t>
      </w:r>
      <w:r w:rsidR="00877CB3">
        <w:rPr>
          <w:rFonts w:cs="Arial"/>
        </w:rPr>
        <w:t xml:space="preserve">a </w:t>
      </w:r>
      <w:r>
        <w:rPr>
          <w:rFonts w:cs="Arial"/>
        </w:rPr>
        <w:t>processing aid is to catalyse the hydrolysis of xylosi</w:t>
      </w:r>
      <w:r w:rsidR="00EF088E">
        <w:rPr>
          <w:rFonts w:cs="Arial"/>
        </w:rPr>
        <w:t xml:space="preserve">dic linkages in </w:t>
      </w:r>
      <w:r w:rsidR="00D37EAE">
        <w:rPr>
          <w:rFonts w:cs="Arial"/>
        </w:rPr>
        <w:t xml:space="preserve">the </w:t>
      </w:r>
      <w:r w:rsidR="00EF088E">
        <w:rPr>
          <w:rFonts w:cs="Arial"/>
        </w:rPr>
        <w:t>arabinoxylan</w:t>
      </w:r>
      <w:r>
        <w:rPr>
          <w:rFonts w:cs="Arial"/>
        </w:rPr>
        <w:t xml:space="preserve"> backbone (and other β-1,4-linked xylans)</w:t>
      </w:r>
      <w:r w:rsidR="00D37EAE">
        <w:rPr>
          <w:rFonts w:cs="Arial"/>
        </w:rPr>
        <w:t xml:space="preserve"> found in plant cell walls</w:t>
      </w:r>
      <w:r>
        <w:rPr>
          <w:rFonts w:cs="Arial"/>
        </w:rPr>
        <w:t xml:space="preserve"> resulting in depolymerisation of the arabino</w:t>
      </w:r>
      <w:r w:rsidR="00EF088E">
        <w:rPr>
          <w:rFonts w:cs="Arial"/>
        </w:rPr>
        <w:t xml:space="preserve">xylan into smaller </w:t>
      </w:r>
      <w:r w:rsidR="000F1B08">
        <w:rPr>
          <w:rFonts w:cs="Arial"/>
        </w:rPr>
        <w:t>oligosaccharides</w:t>
      </w:r>
      <w:r w:rsidR="00EF088E">
        <w:rPr>
          <w:rFonts w:cs="Arial"/>
        </w:rPr>
        <w:t>. This results in improvements and consistency in product quality and production processes</w:t>
      </w:r>
      <w:r w:rsidR="005D6931">
        <w:rPr>
          <w:rFonts w:cs="Arial"/>
        </w:rPr>
        <w:t xml:space="preserve"> explained in section </w:t>
      </w:r>
      <w:r w:rsidR="00205104">
        <w:rPr>
          <w:rFonts w:cs="Arial"/>
        </w:rPr>
        <w:t>2.</w:t>
      </w:r>
      <w:r w:rsidR="00AA3A87">
        <w:rPr>
          <w:rFonts w:cs="Arial"/>
        </w:rPr>
        <w:t>6</w:t>
      </w:r>
      <w:r w:rsidR="00EF088E">
        <w:rPr>
          <w:rFonts w:cs="Arial"/>
        </w:rPr>
        <w:t xml:space="preserve">. </w:t>
      </w:r>
    </w:p>
    <w:p w14:paraId="14EA93B1" w14:textId="06915B83" w:rsidR="00BF127E" w:rsidRDefault="00BF127E" w:rsidP="003D24F4">
      <w:pPr>
        <w:rPr>
          <w:rFonts w:cs="Arial"/>
        </w:rPr>
      </w:pPr>
    </w:p>
    <w:p w14:paraId="1170542F" w14:textId="506BB799" w:rsidR="00BF127E" w:rsidRDefault="009B06EB" w:rsidP="00BF127E">
      <w:pPr>
        <w:rPr>
          <w:rFonts w:cs="Arial"/>
        </w:rPr>
      </w:pPr>
      <w:r>
        <w:rPr>
          <w:rFonts w:cs="Arial"/>
        </w:rPr>
        <w:t xml:space="preserve">The </w:t>
      </w:r>
      <w:r w:rsidR="00BF127E">
        <w:rPr>
          <w:rFonts w:cs="Arial"/>
        </w:rPr>
        <w:t xml:space="preserve">optimum pH range </w:t>
      </w:r>
      <w:r w:rsidR="006D7D3B">
        <w:rPr>
          <w:rFonts w:cs="Arial"/>
        </w:rPr>
        <w:t xml:space="preserve">and temperature </w:t>
      </w:r>
      <w:r w:rsidR="00A61B6C">
        <w:rPr>
          <w:rFonts w:cs="Arial"/>
        </w:rPr>
        <w:t xml:space="preserve">is 6.1 to 6.5 </w:t>
      </w:r>
      <w:r w:rsidR="00951B4B">
        <w:rPr>
          <w:rFonts w:cs="Arial"/>
        </w:rPr>
        <w:t xml:space="preserve">and </w:t>
      </w:r>
      <w:r w:rsidR="00A61B6C">
        <w:rPr>
          <w:rFonts w:cs="Arial"/>
        </w:rPr>
        <w:t>80</w:t>
      </w:r>
      <w:r w:rsidR="003626AF">
        <w:rPr>
          <w:rFonts w:cs="Arial"/>
        </w:rPr>
        <w:t>˚</w:t>
      </w:r>
      <w:r w:rsidR="00A61B6C">
        <w:rPr>
          <w:rFonts w:cs="Arial"/>
        </w:rPr>
        <w:t>C</w:t>
      </w:r>
      <w:r w:rsidR="00786674">
        <w:rPr>
          <w:rFonts w:cs="Arial"/>
        </w:rPr>
        <w:t>,</w:t>
      </w:r>
      <w:r w:rsidR="00A61B6C">
        <w:rPr>
          <w:rFonts w:cs="Arial"/>
        </w:rPr>
        <w:t xml:space="preserve"> </w:t>
      </w:r>
      <w:r w:rsidR="00951B4B">
        <w:rPr>
          <w:rFonts w:cs="Arial"/>
        </w:rPr>
        <w:t xml:space="preserve">respectively. </w:t>
      </w:r>
      <w:r w:rsidR="00BF127E">
        <w:rPr>
          <w:rFonts w:cs="Arial"/>
        </w:rPr>
        <w:t xml:space="preserve">Like most enzymes, endo-1,4-β-xylanase </w:t>
      </w:r>
      <w:r w:rsidR="00877CB3">
        <w:rPr>
          <w:rFonts w:cs="Arial"/>
        </w:rPr>
        <w:t>provides</w:t>
      </w:r>
      <w:r w:rsidR="00BF127E">
        <w:rPr>
          <w:rFonts w:cs="Arial"/>
        </w:rPr>
        <w:t xml:space="preserve"> a technological purpose during food processing</w:t>
      </w:r>
      <w:r w:rsidR="00CC18E6">
        <w:rPr>
          <w:rFonts w:cs="Arial"/>
        </w:rPr>
        <w:t xml:space="preserve"> and/or manufacturing</w:t>
      </w:r>
      <w:r w:rsidR="00BF127E">
        <w:rPr>
          <w:rFonts w:cs="Arial"/>
        </w:rPr>
        <w:t xml:space="preserve"> and not in the final food</w:t>
      </w:r>
      <w:r w:rsidR="00877CB3">
        <w:rPr>
          <w:rFonts w:cs="Arial"/>
        </w:rPr>
        <w:t>, so it is categorised as a processing aid and not as a food additive</w:t>
      </w:r>
      <w:r w:rsidR="00BF127E">
        <w:rPr>
          <w:rFonts w:cs="Arial"/>
        </w:rPr>
        <w:t xml:space="preserve">. </w:t>
      </w:r>
    </w:p>
    <w:p w14:paraId="4DE311E2" w14:textId="61FFE9B8" w:rsidR="005F1923" w:rsidRPr="00D67005" w:rsidRDefault="005F1923" w:rsidP="00D67005">
      <w:pPr>
        <w:pStyle w:val="FSCh3Standard"/>
      </w:pPr>
      <w:bookmarkStart w:id="21" w:name="_Toc505255633"/>
      <w:bookmarkStart w:id="22" w:name="_Toc499282433"/>
      <w:r>
        <w:t>2.</w:t>
      </w:r>
      <w:r w:rsidR="00F624BA">
        <w:t>5</w:t>
      </w:r>
      <w:r>
        <w:t xml:space="preserve"> Us</w:t>
      </w:r>
      <w:r w:rsidR="00A7051C">
        <w:t>e</w:t>
      </w:r>
      <w:r>
        <w:t xml:space="preserve"> </w:t>
      </w:r>
      <w:r w:rsidR="00A7051C">
        <w:t>levels</w:t>
      </w:r>
      <w:bookmarkEnd w:id="21"/>
    </w:p>
    <w:p w14:paraId="1E2E6116" w14:textId="330B5619" w:rsidR="00593248" w:rsidRDefault="00590FC3" w:rsidP="003A0AE0">
      <w:pPr>
        <w:rPr>
          <w:rFonts w:cs="Arial"/>
        </w:rPr>
      </w:pPr>
      <w:r>
        <w:rPr>
          <w:rFonts w:cs="Arial"/>
        </w:rPr>
        <w:t xml:space="preserve">Food enzymes are used by manufacturers according to the </w:t>
      </w:r>
      <w:r>
        <w:rPr>
          <w:rFonts w:cs="Arial"/>
          <w:i/>
        </w:rPr>
        <w:t xml:space="preserve">Quantum Satis </w:t>
      </w:r>
      <w:r>
        <w:rPr>
          <w:rFonts w:cs="Arial"/>
        </w:rPr>
        <w:t>principle</w:t>
      </w:r>
      <w:r w:rsidR="00877CB3">
        <w:rPr>
          <w:rFonts w:cs="Arial"/>
        </w:rPr>
        <w:t xml:space="preserve"> (consistent with GMP)</w:t>
      </w:r>
      <w:r w:rsidR="003A0AE0">
        <w:rPr>
          <w:rFonts w:cs="Arial"/>
        </w:rPr>
        <w:t>.</w:t>
      </w:r>
      <w:r w:rsidR="00EE61E1">
        <w:rPr>
          <w:rFonts w:cs="Arial"/>
        </w:rPr>
        <w:t xml:space="preserve"> </w:t>
      </w:r>
      <w:r w:rsidR="003A0AE0">
        <w:rPr>
          <w:lang w:eastAsia="en-AU" w:bidi="ar-SA"/>
        </w:rPr>
        <w:t xml:space="preserve">This means the enzyme is used in food at the lowest level possible to provide </w:t>
      </w:r>
      <w:r w:rsidR="00CC18E6">
        <w:rPr>
          <w:lang w:eastAsia="en-AU" w:bidi="ar-SA"/>
        </w:rPr>
        <w:t>a</w:t>
      </w:r>
      <w:r w:rsidR="003A0AE0">
        <w:rPr>
          <w:lang w:eastAsia="en-AU" w:bidi="ar-SA"/>
        </w:rPr>
        <w:t xml:space="preserve"> technological purpose.</w:t>
      </w:r>
      <w:r w:rsidR="00EE61E1">
        <w:rPr>
          <w:lang w:eastAsia="en-AU" w:bidi="ar-SA"/>
        </w:rPr>
        <w:t xml:space="preserve"> </w:t>
      </w:r>
      <w:r w:rsidR="00EE61E1">
        <w:rPr>
          <w:rFonts w:cs="Arial"/>
        </w:rPr>
        <w:t>F</w:t>
      </w:r>
      <w:r>
        <w:rPr>
          <w:rFonts w:cs="Arial"/>
        </w:rPr>
        <w:t>ood manufacturers adjust the us</w:t>
      </w:r>
      <w:r w:rsidR="00A7051C">
        <w:rPr>
          <w:rFonts w:cs="Arial"/>
        </w:rPr>
        <w:t>e</w:t>
      </w:r>
      <w:r>
        <w:rPr>
          <w:rFonts w:cs="Arial"/>
        </w:rPr>
        <w:t xml:space="preserve"> </w:t>
      </w:r>
      <w:r w:rsidR="00A7051C">
        <w:rPr>
          <w:rFonts w:cs="Arial"/>
        </w:rPr>
        <w:t>levels</w:t>
      </w:r>
      <w:r>
        <w:rPr>
          <w:rFonts w:cs="Arial"/>
        </w:rPr>
        <w:t xml:space="preserve"> </w:t>
      </w:r>
      <w:r w:rsidR="00AD4F3F">
        <w:rPr>
          <w:rFonts w:cs="Arial"/>
        </w:rPr>
        <w:t>depending on the</w:t>
      </w:r>
      <w:r>
        <w:rPr>
          <w:rFonts w:cs="Arial"/>
        </w:rPr>
        <w:t xml:space="preserve"> </w:t>
      </w:r>
      <w:r w:rsidR="00CC18E6">
        <w:rPr>
          <w:rFonts w:cs="Arial"/>
        </w:rPr>
        <w:t xml:space="preserve">food </w:t>
      </w:r>
      <w:r>
        <w:rPr>
          <w:rFonts w:cs="Arial"/>
        </w:rPr>
        <w:t xml:space="preserve">application </w:t>
      </w:r>
      <w:r w:rsidR="00AD4F3F">
        <w:rPr>
          <w:rFonts w:cs="Arial"/>
        </w:rPr>
        <w:t xml:space="preserve">and </w:t>
      </w:r>
      <w:r>
        <w:rPr>
          <w:rFonts w:cs="Arial"/>
        </w:rPr>
        <w:t xml:space="preserve">the enzyme supplier’s recommended </w:t>
      </w:r>
      <w:r w:rsidR="00A7051C">
        <w:rPr>
          <w:rFonts w:cs="Arial"/>
        </w:rPr>
        <w:t>use levels</w:t>
      </w:r>
      <w:r w:rsidR="006A558D">
        <w:rPr>
          <w:rFonts w:cs="Arial"/>
        </w:rPr>
        <w:t xml:space="preserve"> (Table 2)</w:t>
      </w:r>
      <w:r>
        <w:rPr>
          <w:rFonts w:cs="Arial"/>
        </w:rPr>
        <w:t xml:space="preserve">. </w:t>
      </w:r>
      <w:r w:rsidR="003A0AE0">
        <w:rPr>
          <w:rFonts w:cs="Arial"/>
        </w:rPr>
        <w:t xml:space="preserve"> </w:t>
      </w:r>
    </w:p>
    <w:p w14:paraId="075E7881" w14:textId="5779B7D3" w:rsidR="005050E0" w:rsidRDefault="005050E0" w:rsidP="003D24F4">
      <w:pPr>
        <w:rPr>
          <w:rFonts w:cs="Arial"/>
        </w:rPr>
      </w:pPr>
    </w:p>
    <w:p w14:paraId="738DED32" w14:textId="1F6CDA2F" w:rsidR="005050E0" w:rsidRPr="00EE61E1" w:rsidRDefault="005050E0" w:rsidP="008B1CAD">
      <w:pPr>
        <w:pStyle w:val="FSTableHeading0"/>
      </w:pPr>
      <w:r w:rsidRPr="008B1CAD">
        <w:rPr>
          <w:b/>
        </w:rPr>
        <w:t xml:space="preserve">Table </w:t>
      </w:r>
      <w:r w:rsidR="00EB77BE" w:rsidRPr="008B1CAD">
        <w:rPr>
          <w:b/>
        </w:rPr>
        <w:t>2</w:t>
      </w:r>
      <w:r w:rsidR="00EB77BE">
        <w:t xml:space="preserve"> </w:t>
      </w:r>
      <w:r w:rsidRPr="00EE61E1">
        <w:t xml:space="preserve">Recommended </w:t>
      </w:r>
      <w:r w:rsidR="00A7051C">
        <w:t>use levels</w:t>
      </w:r>
      <w:r w:rsidR="00CC18E6">
        <w:t xml:space="preserve"> for endo-1,4-β-xylanase enzyme preparations</w:t>
      </w:r>
    </w:p>
    <w:p w14:paraId="69B9D083" w14:textId="71506671" w:rsidR="005050E0" w:rsidRDefault="005050E0" w:rsidP="003D24F4">
      <w:pPr>
        <w:rPr>
          <w:rFonts w:cs="Arial"/>
        </w:rPr>
      </w:pPr>
    </w:p>
    <w:tbl>
      <w:tblPr>
        <w:tblStyle w:val="TableGrid"/>
        <w:tblW w:w="9320" w:type="dxa"/>
        <w:tblLook w:val="04A0" w:firstRow="1" w:lastRow="0" w:firstColumn="1" w:lastColumn="0" w:noHBand="0" w:noVBand="1"/>
        <w:tblDescription w:val="The Application listed recommended use levels for various food applications. Column 1 lists the food application. There are 4 rows across the table depending on the food applciation. Column 2 the raw material, Column 3 the recommended use level. Column 4 the final food.  "/>
      </w:tblPr>
      <w:tblGrid>
        <w:gridCol w:w="2377"/>
        <w:gridCol w:w="2191"/>
        <w:gridCol w:w="2519"/>
        <w:gridCol w:w="2233"/>
      </w:tblGrid>
      <w:tr w:rsidR="00562F9F" w14:paraId="355EA213" w14:textId="77777777" w:rsidTr="00562F9F">
        <w:trPr>
          <w:trHeight w:val="488"/>
        </w:trPr>
        <w:tc>
          <w:tcPr>
            <w:tcW w:w="2377" w:type="dxa"/>
            <w:shd w:val="clear" w:color="auto" w:fill="BFBFBF" w:themeFill="background1" w:themeFillShade="BF"/>
          </w:tcPr>
          <w:p w14:paraId="272C9CD5" w14:textId="05C8A68D" w:rsidR="00562F9F" w:rsidRPr="00DE5BDF" w:rsidRDefault="00562F9F" w:rsidP="006A36B6">
            <w:pPr>
              <w:rPr>
                <w:rFonts w:cs="Arial"/>
                <w:b/>
                <w:sz w:val="18"/>
                <w:szCs w:val="18"/>
              </w:rPr>
            </w:pPr>
            <w:r w:rsidRPr="00DE5BDF">
              <w:rPr>
                <w:rFonts w:cs="Arial"/>
                <w:b/>
                <w:sz w:val="18"/>
                <w:szCs w:val="18"/>
              </w:rPr>
              <w:t>Applications</w:t>
            </w:r>
          </w:p>
        </w:tc>
        <w:tc>
          <w:tcPr>
            <w:tcW w:w="2191" w:type="dxa"/>
            <w:shd w:val="clear" w:color="auto" w:fill="BFBFBF" w:themeFill="background1" w:themeFillShade="BF"/>
          </w:tcPr>
          <w:p w14:paraId="75896873" w14:textId="017D618E" w:rsidR="00562F9F" w:rsidRPr="00DE5BDF" w:rsidRDefault="00562F9F" w:rsidP="006A36B6">
            <w:pPr>
              <w:rPr>
                <w:rFonts w:cs="Arial"/>
                <w:b/>
                <w:sz w:val="18"/>
                <w:szCs w:val="18"/>
              </w:rPr>
            </w:pPr>
            <w:r w:rsidRPr="00DE5BDF">
              <w:rPr>
                <w:rFonts w:cs="Arial"/>
                <w:b/>
                <w:sz w:val="18"/>
                <w:szCs w:val="18"/>
              </w:rPr>
              <w:t>Raw material (RM)</w:t>
            </w:r>
          </w:p>
        </w:tc>
        <w:tc>
          <w:tcPr>
            <w:tcW w:w="2519" w:type="dxa"/>
            <w:shd w:val="clear" w:color="auto" w:fill="BFBFBF" w:themeFill="background1" w:themeFillShade="BF"/>
          </w:tcPr>
          <w:p w14:paraId="3378F226" w14:textId="1725F87E" w:rsidR="00562F9F" w:rsidRPr="00DE5BDF" w:rsidRDefault="00562F9F" w:rsidP="00CC18E6">
            <w:pPr>
              <w:rPr>
                <w:rFonts w:cs="Arial"/>
                <w:b/>
                <w:sz w:val="18"/>
                <w:szCs w:val="18"/>
              </w:rPr>
            </w:pPr>
            <w:r w:rsidRPr="00DE5BDF">
              <w:rPr>
                <w:rFonts w:cs="Arial"/>
                <w:b/>
                <w:sz w:val="18"/>
                <w:szCs w:val="18"/>
              </w:rPr>
              <w:t>Recommended use level (mg T</w:t>
            </w:r>
            <w:r w:rsidR="00CC18E6">
              <w:rPr>
                <w:rFonts w:cs="Arial"/>
                <w:b/>
                <w:sz w:val="18"/>
                <w:szCs w:val="18"/>
              </w:rPr>
              <w:t xml:space="preserve">otal </w:t>
            </w:r>
            <w:r w:rsidRPr="00DE5BDF">
              <w:rPr>
                <w:rFonts w:cs="Arial"/>
                <w:b/>
                <w:sz w:val="18"/>
                <w:szCs w:val="18"/>
              </w:rPr>
              <w:t>O</w:t>
            </w:r>
            <w:r w:rsidR="00CC18E6">
              <w:rPr>
                <w:rFonts w:cs="Arial"/>
                <w:b/>
                <w:sz w:val="18"/>
                <w:szCs w:val="18"/>
              </w:rPr>
              <w:t xml:space="preserve">rganic </w:t>
            </w:r>
            <w:r w:rsidRPr="00DE5BDF">
              <w:rPr>
                <w:rFonts w:cs="Arial"/>
                <w:b/>
                <w:sz w:val="18"/>
                <w:szCs w:val="18"/>
              </w:rPr>
              <w:t>S</w:t>
            </w:r>
            <w:r w:rsidR="00CC18E6">
              <w:rPr>
                <w:rFonts w:cs="Arial"/>
                <w:b/>
                <w:sz w:val="18"/>
                <w:szCs w:val="18"/>
              </w:rPr>
              <w:t>olids</w:t>
            </w:r>
            <w:r w:rsidRPr="00DE5BDF">
              <w:rPr>
                <w:rFonts w:cs="Arial"/>
                <w:b/>
                <w:sz w:val="18"/>
                <w:szCs w:val="18"/>
              </w:rPr>
              <w:t>/</w:t>
            </w:r>
            <w:r w:rsidR="000F1B08">
              <w:rPr>
                <w:rFonts w:cs="Arial"/>
                <w:b/>
                <w:sz w:val="18"/>
                <w:szCs w:val="18"/>
              </w:rPr>
              <w:t>k</w:t>
            </w:r>
            <w:r w:rsidRPr="00DE5BDF">
              <w:rPr>
                <w:rFonts w:cs="Arial"/>
                <w:b/>
                <w:sz w:val="18"/>
                <w:szCs w:val="18"/>
              </w:rPr>
              <w:t xml:space="preserve">g </w:t>
            </w:r>
            <w:r w:rsidR="00CC18E6">
              <w:rPr>
                <w:rFonts w:cs="Arial"/>
                <w:b/>
                <w:sz w:val="18"/>
                <w:szCs w:val="18"/>
              </w:rPr>
              <w:t>raw material</w:t>
            </w:r>
            <w:r w:rsidR="0041273B">
              <w:rPr>
                <w:rFonts w:cs="Arial"/>
                <w:b/>
                <w:sz w:val="18"/>
                <w:szCs w:val="18"/>
              </w:rPr>
              <w:t>)</w:t>
            </w:r>
          </w:p>
        </w:tc>
        <w:tc>
          <w:tcPr>
            <w:tcW w:w="2233" w:type="dxa"/>
            <w:shd w:val="clear" w:color="auto" w:fill="BFBFBF" w:themeFill="background1" w:themeFillShade="BF"/>
          </w:tcPr>
          <w:p w14:paraId="41EE64B6" w14:textId="7EDA03AA" w:rsidR="00562F9F" w:rsidRPr="00DE5BDF" w:rsidRDefault="00562F9F" w:rsidP="006A36B6">
            <w:pPr>
              <w:rPr>
                <w:rFonts w:cs="Arial"/>
                <w:b/>
                <w:sz w:val="18"/>
                <w:szCs w:val="18"/>
              </w:rPr>
            </w:pPr>
            <w:r w:rsidRPr="00DE5BDF">
              <w:rPr>
                <w:rFonts w:cs="Arial"/>
                <w:b/>
                <w:sz w:val="18"/>
                <w:szCs w:val="18"/>
              </w:rPr>
              <w:t>Final food (FF)</w:t>
            </w:r>
          </w:p>
        </w:tc>
      </w:tr>
      <w:tr w:rsidR="00562F9F" w14:paraId="3DD0440C" w14:textId="77777777" w:rsidTr="00562F9F">
        <w:trPr>
          <w:trHeight w:val="321"/>
        </w:trPr>
        <w:tc>
          <w:tcPr>
            <w:tcW w:w="2377" w:type="dxa"/>
          </w:tcPr>
          <w:p w14:paraId="0A7C7BE3" w14:textId="565267A5" w:rsidR="00562F9F" w:rsidRPr="00DE5BDF" w:rsidRDefault="00562F9F" w:rsidP="006A36B6">
            <w:pPr>
              <w:rPr>
                <w:rFonts w:cs="Arial"/>
                <w:sz w:val="18"/>
                <w:szCs w:val="18"/>
              </w:rPr>
            </w:pPr>
            <w:r w:rsidRPr="00DE5BDF">
              <w:rPr>
                <w:rFonts w:cs="Arial"/>
                <w:sz w:val="18"/>
                <w:szCs w:val="18"/>
              </w:rPr>
              <w:t>Alcoholic beverages</w:t>
            </w:r>
          </w:p>
        </w:tc>
        <w:tc>
          <w:tcPr>
            <w:tcW w:w="2191" w:type="dxa"/>
          </w:tcPr>
          <w:p w14:paraId="64A963CB" w14:textId="44D8BAB8" w:rsidR="00562F9F" w:rsidRPr="00DE5BDF" w:rsidRDefault="00562F9F" w:rsidP="006A36B6">
            <w:pPr>
              <w:rPr>
                <w:rFonts w:cs="Arial"/>
                <w:sz w:val="18"/>
                <w:szCs w:val="18"/>
              </w:rPr>
            </w:pPr>
            <w:r w:rsidRPr="00DE5BDF">
              <w:rPr>
                <w:rFonts w:cs="Arial"/>
                <w:sz w:val="18"/>
                <w:szCs w:val="18"/>
              </w:rPr>
              <w:t>Cereals</w:t>
            </w:r>
          </w:p>
        </w:tc>
        <w:tc>
          <w:tcPr>
            <w:tcW w:w="2519" w:type="dxa"/>
          </w:tcPr>
          <w:p w14:paraId="516642A7" w14:textId="144EBF9B" w:rsidR="00562F9F" w:rsidRPr="00DE5BDF" w:rsidRDefault="00562F9F" w:rsidP="006A36B6">
            <w:pPr>
              <w:rPr>
                <w:rFonts w:cs="Arial"/>
                <w:sz w:val="18"/>
                <w:szCs w:val="18"/>
              </w:rPr>
            </w:pPr>
            <w:r w:rsidRPr="00DE5BDF">
              <w:rPr>
                <w:rFonts w:cs="Arial"/>
                <w:sz w:val="18"/>
                <w:szCs w:val="18"/>
              </w:rPr>
              <w:t>5</w:t>
            </w:r>
          </w:p>
        </w:tc>
        <w:tc>
          <w:tcPr>
            <w:tcW w:w="2233" w:type="dxa"/>
          </w:tcPr>
          <w:p w14:paraId="5B17EDB0" w14:textId="6BA8E987" w:rsidR="00562F9F" w:rsidRPr="00DE5BDF" w:rsidRDefault="00562F9F" w:rsidP="003F4D2E">
            <w:pPr>
              <w:rPr>
                <w:rFonts w:cs="Arial"/>
                <w:sz w:val="18"/>
                <w:szCs w:val="18"/>
              </w:rPr>
            </w:pPr>
            <w:r w:rsidRPr="00DE5BDF">
              <w:rPr>
                <w:rFonts w:cs="Arial"/>
                <w:sz w:val="18"/>
                <w:szCs w:val="18"/>
              </w:rPr>
              <w:t>Beer</w:t>
            </w:r>
          </w:p>
        </w:tc>
      </w:tr>
      <w:tr w:rsidR="00562F9F" w14:paraId="49D53EED" w14:textId="77777777" w:rsidTr="00562F9F">
        <w:trPr>
          <w:trHeight w:val="655"/>
        </w:trPr>
        <w:tc>
          <w:tcPr>
            <w:tcW w:w="2377" w:type="dxa"/>
          </w:tcPr>
          <w:p w14:paraId="1A3EC540" w14:textId="338B41E1" w:rsidR="00562F9F" w:rsidRPr="00DE5BDF" w:rsidRDefault="00562F9F" w:rsidP="006A36B6">
            <w:pPr>
              <w:rPr>
                <w:rFonts w:cs="Arial"/>
                <w:sz w:val="18"/>
                <w:szCs w:val="18"/>
              </w:rPr>
            </w:pPr>
            <w:r w:rsidRPr="00DE5BDF">
              <w:rPr>
                <w:rFonts w:cs="Arial"/>
                <w:sz w:val="18"/>
                <w:szCs w:val="18"/>
              </w:rPr>
              <w:t>Miscellaneous</w:t>
            </w:r>
          </w:p>
        </w:tc>
        <w:tc>
          <w:tcPr>
            <w:tcW w:w="2191" w:type="dxa"/>
          </w:tcPr>
          <w:p w14:paraId="7521F0ED" w14:textId="2A363CE2" w:rsidR="00562F9F" w:rsidRPr="00DE5BDF" w:rsidRDefault="00562F9F" w:rsidP="006A36B6">
            <w:pPr>
              <w:rPr>
                <w:rFonts w:cs="Arial"/>
                <w:sz w:val="18"/>
                <w:szCs w:val="18"/>
              </w:rPr>
            </w:pPr>
            <w:r w:rsidRPr="00DE5BDF">
              <w:rPr>
                <w:rFonts w:cs="Arial"/>
                <w:sz w:val="18"/>
                <w:szCs w:val="18"/>
              </w:rPr>
              <w:t>Cereals</w:t>
            </w:r>
          </w:p>
        </w:tc>
        <w:tc>
          <w:tcPr>
            <w:tcW w:w="2519" w:type="dxa"/>
          </w:tcPr>
          <w:p w14:paraId="3224BBA5" w14:textId="5513466A" w:rsidR="00562F9F" w:rsidRPr="00DE5BDF" w:rsidRDefault="00562F9F" w:rsidP="006A36B6">
            <w:pPr>
              <w:rPr>
                <w:rFonts w:cs="Arial"/>
                <w:sz w:val="18"/>
                <w:szCs w:val="18"/>
              </w:rPr>
            </w:pPr>
            <w:r w:rsidRPr="00DE5BDF">
              <w:rPr>
                <w:rFonts w:cs="Arial"/>
                <w:sz w:val="18"/>
                <w:szCs w:val="18"/>
              </w:rPr>
              <w:t>10</w:t>
            </w:r>
          </w:p>
        </w:tc>
        <w:tc>
          <w:tcPr>
            <w:tcW w:w="2233" w:type="dxa"/>
          </w:tcPr>
          <w:p w14:paraId="463F730C" w14:textId="44F7251A" w:rsidR="00562F9F" w:rsidRPr="00DE5BDF" w:rsidRDefault="00562F9F" w:rsidP="006A36B6">
            <w:pPr>
              <w:rPr>
                <w:rFonts w:cs="Arial"/>
                <w:sz w:val="18"/>
                <w:szCs w:val="18"/>
              </w:rPr>
            </w:pPr>
            <w:r w:rsidRPr="00DE5BDF">
              <w:rPr>
                <w:rFonts w:cs="Arial"/>
                <w:sz w:val="18"/>
                <w:szCs w:val="18"/>
              </w:rPr>
              <w:t>Starch, fib</w:t>
            </w:r>
            <w:r>
              <w:rPr>
                <w:rFonts w:cs="Arial"/>
                <w:sz w:val="18"/>
                <w:szCs w:val="18"/>
              </w:rPr>
              <w:t>re</w:t>
            </w:r>
            <w:r w:rsidRPr="00DE5BDF">
              <w:rPr>
                <w:rFonts w:cs="Arial"/>
                <w:sz w:val="18"/>
                <w:szCs w:val="18"/>
              </w:rPr>
              <w:t>s, gluten used in – soft drinks and beverages</w:t>
            </w:r>
          </w:p>
        </w:tc>
      </w:tr>
      <w:tr w:rsidR="00562F9F" w14:paraId="4901975C" w14:textId="77777777" w:rsidTr="00562F9F">
        <w:trPr>
          <w:trHeight w:val="321"/>
        </w:trPr>
        <w:tc>
          <w:tcPr>
            <w:tcW w:w="2377" w:type="dxa"/>
          </w:tcPr>
          <w:p w14:paraId="14DBE07E" w14:textId="3391A7B1" w:rsidR="00562F9F" w:rsidRPr="00DE5BDF" w:rsidRDefault="00562F9F" w:rsidP="006A36B6">
            <w:pPr>
              <w:rPr>
                <w:rFonts w:cs="Arial"/>
                <w:sz w:val="18"/>
                <w:szCs w:val="18"/>
              </w:rPr>
            </w:pPr>
            <w:r w:rsidRPr="00DE5BDF">
              <w:rPr>
                <w:rFonts w:cs="Arial"/>
                <w:sz w:val="18"/>
                <w:szCs w:val="18"/>
              </w:rPr>
              <w:t>Baking and other cereal products</w:t>
            </w:r>
          </w:p>
        </w:tc>
        <w:tc>
          <w:tcPr>
            <w:tcW w:w="2191" w:type="dxa"/>
          </w:tcPr>
          <w:p w14:paraId="524005CF" w14:textId="30BAB170" w:rsidR="00562F9F" w:rsidRPr="00DE5BDF" w:rsidRDefault="00562F9F" w:rsidP="006A36B6">
            <w:pPr>
              <w:rPr>
                <w:rFonts w:cs="Arial"/>
                <w:sz w:val="18"/>
                <w:szCs w:val="18"/>
              </w:rPr>
            </w:pPr>
            <w:r w:rsidRPr="00DE5BDF">
              <w:rPr>
                <w:rFonts w:cs="Arial"/>
                <w:sz w:val="18"/>
                <w:szCs w:val="18"/>
              </w:rPr>
              <w:t>Flour</w:t>
            </w:r>
          </w:p>
        </w:tc>
        <w:tc>
          <w:tcPr>
            <w:tcW w:w="2519" w:type="dxa"/>
          </w:tcPr>
          <w:p w14:paraId="7D2BAD56" w14:textId="114819E0" w:rsidR="00562F9F" w:rsidRPr="00DE5BDF" w:rsidRDefault="00562F9F" w:rsidP="006A36B6">
            <w:pPr>
              <w:rPr>
                <w:rFonts w:cs="Arial"/>
                <w:sz w:val="18"/>
                <w:szCs w:val="18"/>
              </w:rPr>
            </w:pPr>
            <w:r w:rsidRPr="00DE5BDF">
              <w:rPr>
                <w:rFonts w:cs="Arial"/>
                <w:sz w:val="18"/>
                <w:szCs w:val="18"/>
              </w:rPr>
              <w:t>10</w:t>
            </w:r>
          </w:p>
        </w:tc>
        <w:tc>
          <w:tcPr>
            <w:tcW w:w="2233" w:type="dxa"/>
          </w:tcPr>
          <w:p w14:paraId="0FA5C5F7" w14:textId="452883DD" w:rsidR="00562F9F" w:rsidRPr="00DE5BDF" w:rsidRDefault="00562F9F" w:rsidP="006A36B6">
            <w:pPr>
              <w:rPr>
                <w:rFonts w:cs="Arial"/>
                <w:sz w:val="18"/>
                <w:szCs w:val="18"/>
              </w:rPr>
            </w:pPr>
            <w:r w:rsidRPr="00DE5BDF">
              <w:rPr>
                <w:rFonts w:cs="Arial"/>
                <w:sz w:val="18"/>
                <w:szCs w:val="18"/>
              </w:rPr>
              <w:t>Bread, baked products</w:t>
            </w:r>
          </w:p>
        </w:tc>
      </w:tr>
      <w:tr w:rsidR="00562F9F" w14:paraId="5A9D25B8" w14:textId="77777777" w:rsidTr="00562F9F">
        <w:trPr>
          <w:trHeight w:val="321"/>
        </w:trPr>
        <w:tc>
          <w:tcPr>
            <w:tcW w:w="2377" w:type="dxa"/>
          </w:tcPr>
          <w:p w14:paraId="54A91AC2" w14:textId="02098CDE" w:rsidR="00562F9F" w:rsidRPr="00DE5BDF" w:rsidRDefault="00562F9F" w:rsidP="006A36B6">
            <w:pPr>
              <w:rPr>
                <w:rFonts w:cs="Arial"/>
                <w:sz w:val="18"/>
                <w:szCs w:val="18"/>
              </w:rPr>
            </w:pPr>
            <w:r w:rsidRPr="00DE5BDF">
              <w:rPr>
                <w:rFonts w:cs="Arial"/>
                <w:sz w:val="18"/>
                <w:szCs w:val="18"/>
              </w:rPr>
              <w:t>Grain processing</w:t>
            </w:r>
          </w:p>
        </w:tc>
        <w:tc>
          <w:tcPr>
            <w:tcW w:w="2191" w:type="dxa"/>
          </w:tcPr>
          <w:p w14:paraId="7674680E" w14:textId="65DBA95C" w:rsidR="00562F9F" w:rsidRPr="00DE5BDF" w:rsidRDefault="00562F9F" w:rsidP="006A36B6">
            <w:pPr>
              <w:rPr>
                <w:rFonts w:cs="Arial"/>
                <w:sz w:val="18"/>
                <w:szCs w:val="18"/>
              </w:rPr>
            </w:pPr>
            <w:r w:rsidRPr="00DE5BDF">
              <w:rPr>
                <w:rFonts w:cs="Arial"/>
                <w:sz w:val="18"/>
                <w:szCs w:val="18"/>
              </w:rPr>
              <w:t>Cereals</w:t>
            </w:r>
          </w:p>
        </w:tc>
        <w:tc>
          <w:tcPr>
            <w:tcW w:w="2519" w:type="dxa"/>
          </w:tcPr>
          <w:p w14:paraId="6AC8CA48" w14:textId="7F0B43D7" w:rsidR="00562F9F" w:rsidRPr="00DE5BDF" w:rsidRDefault="00562F9F" w:rsidP="006A36B6">
            <w:pPr>
              <w:rPr>
                <w:rFonts w:cs="Arial"/>
                <w:sz w:val="18"/>
                <w:szCs w:val="18"/>
              </w:rPr>
            </w:pPr>
            <w:r w:rsidRPr="00DE5BDF">
              <w:rPr>
                <w:rFonts w:cs="Arial"/>
                <w:sz w:val="18"/>
                <w:szCs w:val="18"/>
              </w:rPr>
              <w:t>10</w:t>
            </w:r>
          </w:p>
        </w:tc>
        <w:tc>
          <w:tcPr>
            <w:tcW w:w="2233" w:type="dxa"/>
          </w:tcPr>
          <w:p w14:paraId="34052D42" w14:textId="76EA7B71" w:rsidR="00562F9F" w:rsidRPr="00DE5BDF" w:rsidRDefault="00562F9F" w:rsidP="006A36B6">
            <w:pPr>
              <w:rPr>
                <w:rFonts w:cs="Arial"/>
                <w:sz w:val="18"/>
                <w:szCs w:val="18"/>
              </w:rPr>
            </w:pPr>
            <w:r w:rsidRPr="00DE5BDF">
              <w:rPr>
                <w:rFonts w:cs="Arial"/>
                <w:sz w:val="18"/>
                <w:szCs w:val="18"/>
              </w:rPr>
              <w:t>Starch, fib</w:t>
            </w:r>
            <w:r>
              <w:rPr>
                <w:rFonts w:cs="Arial"/>
                <w:sz w:val="18"/>
                <w:szCs w:val="18"/>
              </w:rPr>
              <w:t>re</w:t>
            </w:r>
            <w:r w:rsidRPr="00DE5BDF">
              <w:rPr>
                <w:rFonts w:cs="Arial"/>
                <w:sz w:val="18"/>
                <w:szCs w:val="18"/>
              </w:rPr>
              <w:t xml:space="preserve">s, gluten </w:t>
            </w:r>
          </w:p>
        </w:tc>
      </w:tr>
    </w:tbl>
    <w:p w14:paraId="3476E99F" w14:textId="37B6DA74" w:rsidR="005050E0" w:rsidRDefault="005050E0" w:rsidP="003D24F4">
      <w:pPr>
        <w:rPr>
          <w:rFonts w:cs="Arial"/>
        </w:rPr>
      </w:pPr>
    </w:p>
    <w:p w14:paraId="6ECAB9F6" w14:textId="3D574E0B" w:rsidR="00590FC3" w:rsidRDefault="00590FC3" w:rsidP="003D24F4">
      <w:pPr>
        <w:rPr>
          <w:rFonts w:cs="Arial"/>
        </w:rPr>
      </w:pPr>
      <w:r>
        <w:rPr>
          <w:rFonts w:cs="Arial"/>
        </w:rPr>
        <w:t>In the application, there are two for</w:t>
      </w:r>
      <w:r w:rsidR="00CC18E6">
        <w:rPr>
          <w:rFonts w:cs="Arial"/>
        </w:rPr>
        <w:t>ms of enzyme preparation;</w:t>
      </w:r>
      <w:r>
        <w:rPr>
          <w:rFonts w:cs="Arial"/>
        </w:rPr>
        <w:t xml:space="preserve"> a liquid and powder. The </w:t>
      </w:r>
      <w:r w:rsidR="00192E96">
        <w:rPr>
          <w:rFonts w:cs="Arial"/>
        </w:rPr>
        <w:t xml:space="preserve">approximate </w:t>
      </w:r>
      <w:r>
        <w:rPr>
          <w:rFonts w:cs="Arial"/>
        </w:rPr>
        <w:t xml:space="preserve">composition of </w:t>
      </w:r>
      <w:r w:rsidR="00CC18E6">
        <w:rPr>
          <w:rFonts w:cs="Arial"/>
        </w:rPr>
        <w:t>these</w:t>
      </w:r>
      <w:r w:rsidR="00280F30">
        <w:rPr>
          <w:rFonts w:cs="Arial"/>
        </w:rPr>
        <w:t xml:space="preserve"> form</w:t>
      </w:r>
      <w:r w:rsidR="00CC18E6">
        <w:rPr>
          <w:rFonts w:cs="Arial"/>
        </w:rPr>
        <w:t>s</w:t>
      </w:r>
      <w:r>
        <w:rPr>
          <w:rFonts w:cs="Arial"/>
        </w:rPr>
        <w:t xml:space="preserve"> </w:t>
      </w:r>
      <w:r w:rsidR="00CC18E6">
        <w:rPr>
          <w:rFonts w:cs="Arial"/>
        </w:rPr>
        <w:t>is</w:t>
      </w:r>
      <w:r w:rsidR="00192E96">
        <w:rPr>
          <w:rFonts w:cs="Arial"/>
        </w:rPr>
        <w:t xml:space="preserve"> </w:t>
      </w:r>
      <w:r>
        <w:rPr>
          <w:rFonts w:cs="Arial"/>
        </w:rPr>
        <w:t xml:space="preserve">provided </w:t>
      </w:r>
      <w:r w:rsidR="003626AF">
        <w:rPr>
          <w:rFonts w:cs="Arial"/>
        </w:rPr>
        <w:t xml:space="preserve">in </w:t>
      </w:r>
      <w:r w:rsidR="00D37EAE">
        <w:rPr>
          <w:rFonts w:cs="Arial"/>
        </w:rPr>
        <w:t>Table 3</w:t>
      </w:r>
      <w:r>
        <w:rPr>
          <w:rFonts w:cs="Arial"/>
        </w:rPr>
        <w:t xml:space="preserve">. </w:t>
      </w:r>
    </w:p>
    <w:p w14:paraId="3560D4A3" w14:textId="004B92AB" w:rsidR="00B421AE" w:rsidRDefault="00B421AE" w:rsidP="003D24F4">
      <w:pPr>
        <w:rPr>
          <w:rFonts w:cs="Arial"/>
        </w:rPr>
      </w:pPr>
    </w:p>
    <w:p w14:paraId="6E465E58" w14:textId="041D5E72" w:rsidR="00B421AE" w:rsidRDefault="00B421AE" w:rsidP="008B1CAD">
      <w:pPr>
        <w:pStyle w:val="FSTableHeading0"/>
      </w:pPr>
      <w:r w:rsidRPr="008B1CAD">
        <w:rPr>
          <w:b/>
        </w:rPr>
        <w:t xml:space="preserve">Table </w:t>
      </w:r>
      <w:r w:rsidR="00AD4F3F" w:rsidRPr="008B1CAD">
        <w:rPr>
          <w:b/>
        </w:rPr>
        <w:t>3</w:t>
      </w:r>
      <w:r w:rsidR="00AD4F3F">
        <w:t xml:space="preserve"> </w:t>
      </w:r>
      <w:r w:rsidRPr="00EE61E1">
        <w:t xml:space="preserve">Composition of </w:t>
      </w:r>
      <w:r w:rsidR="003626AF">
        <w:t>e</w:t>
      </w:r>
      <w:r w:rsidRPr="00EE61E1">
        <w:t>ndo-1,4-β-xylanase enzyme preparations</w:t>
      </w:r>
      <w:r>
        <w:t xml:space="preserve"> </w:t>
      </w:r>
    </w:p>
    <w:p w14:paraId="23ABA624" w14:textId="4EA09346" w:rsidR="00B421AE" w:rsidRDefault="00B421AE" w:rsidP="003D24F4">
      <w:pPr>
        <w:rPr>
          <w:rFonts w:cs="Arial"/>
        </w:rPr>
      </w:pPr>
    </w:p>
    <w:tbl>
      <w:tblPr>
        <w:tblStyle w:val="TableGrid"/>
        <w:tblW w:w="0" w:type="auto"/>
        <w:tblLook w:val="04A0" w:firstRow="1" w:lastRow="0" w:firstColumn="1" w:lastColumn="0" w:noHBand="0" w:noVBand="1"/>
        <w:tblDescription w:val="There are two columns for the liquid and powdered form of the enzyme preparation. Column 1 lists the various substances (8 substances) that make up the liquid and powdered form of the enzyme preparation."/>
      </w:tblPr>
      <w:tblGrid>
        <w:gridCol w:w="3025"/>
        <w:gridCol w:w="3017"/>
        <w:gridCol w:w="3018"/>
      </w:tblGrid>
      <w:tr w:rsidR="00B421AE" w14:paraId="0D199DBB" w14:textId="77777777" w:rsidTr="003626AF">
        <w:trPr>
          <w:cantSplit/>
        </w:trPr>
        <w:tc>
          <w:tcPr>
            <w:tcW w:w="3095" w:type="dxa"/>
            <w:shd w:val="clear" w:color="auto" w:fill="BFBFBF" w:themeFill="background1" w:themeFillShade="BF"/>
          </w:tcPr>
          <w:p w14:paraId="6940415B" w14:textId="77777777" w:rsidR="00B421AE" w:rsidRPr="00DE5BDF" w:rsidRDefault="00B421AE" w:rsidP="003D24F4">
            <w:pPr>
              <w:rPr>
                <w:rFonts w:cs="Arial"/>
                <w:sz w:val="18"/>
                <w:szCs w:val="18"/>
              </w:rPr>
            </w:pPr>
          </w:p>
        </w:tc>
        <w:tc>
          <w:tcPr>
            <w:tcW w:w="3095" w:type="dxa"/>
            <w:shd w:val="clear" w:color="auto" w:fill="BFBFBF" w:themeFill="background1" w:themeFillShade="BF"/>
          </w:tcPr>
          <w:p w14:paraId="61183CAA" w14:textId="7FB0EE40" w:rsidR="00B421AE" w:rsidRPr="00DE5BDF" w:rsidRDefault="00B421AE" w:rsidP="00D0431B">
            <w:pPr>
              <w:jc w:val="both"/>
              <w:rPr>
                <w:rFonts w:cs="Arial"/>
                <w:b/>
                <w:sz w:val="18"/>
                <w:szCs w:val="18"/>
              </w:rPr>
            </w:pPr>
            <w:r w:rsidRPr="00DE5BDF">
              <w:rPr>
                <w:rFonts w:cs="Arial"/>
                <w:b/>
                <w:sz w:val="18"/>
                <w:szCs w:val="18"/>
              </w:rPr>
              <w:t>Liquid form (approx. %)</w:t>
            </w:r>
          </w:p>
        </w:tc>
        <w:tc>
          <w:tcPr>
            <w:tcW w:w="3096" w:type="dxa"/>
            <w:shd w:val="clear" w:color="auto" w:fill="BFBFBF" w:themeFill="background1" w:themeFillShade="BF"/>
          </w:tcPr>
          <w:p w14:paraId="79DC2237" w14:textId="168DC6C0" w:rsidR="00B421AE" w:rsidRPr="00DE5BDF" w:rsidRDefault="00B421AE" w:rsidP="006A36B6">
            <w:pPr>
              <w:jc w:val="both"/>
              <w:rPr>
                <w:rFonts w:cs="Arial"/>
                <w:b/>
                <w:sz w:val="18"/>
                <w:szCs w:val="18"/>
              </w:rPr>
            </w:pPr>
            <w:r w:rsidRPr="00DE5BDF">
              <w:rPr>
                <w:rFonts w:cs="Arial"/>
                <w:b/>
                <w:sz w:val="18"/>
                <w:szCs w:val="18"/>
              </w:rPr>
              <w:t>Powder form (approx. %)</w:t>
            </w:r>
          </w:p>
        </w:tc>
      </w:tr>
      <w:tr w:rsidR="00B421AE" w14:paraId="119F0795" w14:textId="77777777" w:rsidTr="003626AF">
        <w:trPr>
          <w:cantSplit/>
        </w:trPr>
        <w:tc>
          <w:tcPr>
            <w:tcW w:w="3095" w:type="dxa"/>
          </w:tcPr>
          <w:p w14:paraId="2AC4CB41" w14:textId="129E1AFB" w:rsidR="00B421AE" w:rsidRPr="00DE5BDF" w:rsidRDefault="00AA3A87" w:rsidP="003D24F4">
            <w:pPr>
              <w:rPr>
                <w:rFonts w:cs="Arial"/>
                <w:sz w:val="18"/>
                <w:szCs w:val="18"/>
              </w:rPr>
            </w:pPr>
            <w:r w:rsidRPr="00DE5BDF">
              <w:rPr>
                <w:rFonts w:cs="Arial"/>
                <w:sz w:val="18"/>
                <w:szCs w:val="18"/>
              </w:rPr>
              <w:t xml:space="preserve">Endo-1,4-β-xylanase </w:t>
            </w:r>
            <w:r w:rsidR="00B421AE" w:rsidRPr="00DE5BDF">
              <w:rPr>
                <w:rFonts w:cs="Arial"/>
                <w:sz w:val="18"/>
                <w:szCs w:val="18"/>
              </w:rPr>
              <w:t xml:space="preserve"> concentrate</w:t>
            </w:r>
          </w:p>
        </w:tc>
        <w:tc>
          <w:tcPr>
            <w:tcW w:w="3095" w:type="dxa"/>
          </w:tcPr>
          <w:p w14:paraId="5AB6388E" w14:textId="2CBD3406" w:rsidR="00B421AE" w:rsidRPr="00DE5BDF" w:rsidRDefault="00B421AE" w:rsidP="003D24F4">
            <w:pPr>
              <w:rPr>
                <w:rFonts w:cs="Arial"/>
                <w:sz w:val="18"/>
                <w:szCs w:val="18"/>
              </w:rPr>
            </w:pPr>
            <w:r w:rsidRPr="00DE5BDF">
              <w:rPr>
                <w:rFonts w:cs="Arial"/>
                <w:sz w:val="18"/>
                <w:szCs w:val="18"/>
              </w:rPr>
              <w:t>23</w:t>
            </w:r>
          </w:p>
        </w:tc>
        <w:tc>
          <w:tcPr>
            <w:tcW w:w="3096" w:type="dxa"/>
          </w:tcPr>
          <w:p w14:paraId="1BA4856B" w14:textId="37751B0A" w:rsidR="00B421AE" w:rsidRPr="00DE5BDF" w:rsidRDefault="00B421AE" w:rsidP="003D24F4">
            <w:pPr>
              <w:rPr>
                <w:rFonts w:cs="Arial"/>
                <w:sz w:val="18"/>
                <w:szCs w:val="18"/>
              </w:rPr>
            </w:pPr>
            <w:r w:rsidRPr="00DE5BDF">
              <w:rPr>
                <w:rFonts w:cs="Arial"/>
                <w:sz w:val="18"/>
                <w:szCs w:val="18"/>
              </w:rPr>
              <w:t>4</w:t>
            </w:r>
          </w:p>
        </w:tc>
      </w:tr>
      <w:tr w:rsidR="00B421AE" w14:paraId="32CC3BF2" w14:textId="77777777" w:rsidTr="003626AF">
        <w:trPr>
          <w:cantSplit/>
        </w:trPr>
        <w:tc>
          <w:tcPr>
            <w:tcW w:w="3095" w:type="dxa"/>
          </w:tcPr>
          <w:p w14:paraId="1CF28AF7" w14:textId="61779C99" w:rsidR="00B421AE" w:rsidRPr="00DE5BDF" w:rsidRDefault="00B421AE" w:rsidP="003D24F4">
            <w:pPr>
              <w:rPr>
                <w:rFonts w:cs="Arial"/>
                <w:sz w:val="18"/>
                <w:szCs w:val="18"/>
              </w:rPr>
            </w:pPr>
            <w:r w:rsidRPr="00DE5BDF">
              <w:rPr>
                <w:rFonts w:cs="Arial"/>
                <w:sz w:val="18"/>
                <w:szCs w:val="18"/>
              </w:rPr>
              <w:t>Sorbitol</w:t>
            </w:r>
          </w:p>
        </w:tc>
        <w:tc>
          <w:tcPr>
            <w:tcW w:w="3095" w:type="dxa"/>
          </w:tcPr>
          <w:p w14:paraId="1FC9E32D" w14:textId="301EB4ED" w:rsidR="00B421AE" w:rsidRPr="00DE5BDF" w:rsidRDefault="00B421AE" w:rsidP="003D24F4">
            <w:pPr>
              <w:rPr>
                <w:rFonts w:cs="Arial"/>
                <w:sz w:val="18"/>
                <w:szCs w:val="18"/>
              </w:rPr>
            </w:pPr>
            <w:r w:rsidRPr="00DE5BDF">
              <w:rPr>
                <w:rFonts w:cs="Arial"/>
                <w:sz w:val="18"/>
                <w:szCs w:val="18"/>
              </w:rPr>
              <w:t>45</w:t>
            </w:r>
          </w:p>
        </w:tc>
        <w:tc>
          <w:tcPr>
            <w:tcW w:w="3096" w:type="dxa"/>
          </w:tcPr>
          <w:p w14:paraId="1F1CE6BA" w14:textId="24D0204C" w:rsidR="00B421AE" w:rsidRPr="00DE5BDF" w:rsidRDefault="00555C33" w:rsidP="003D24F4">
            <w:pPr>
              <w:rPr>
                <w:rFonts w:cs="Arial"/>
                <w:sz w:val="18"/>
                <w:szCs w:val="18"/>
              </w:rPr>
            </w:pPr>
            <w:r w:rsidRPr="00DE5BDF">
              <w:rPr>
                <w:rFonts w:cs="Arial"/>
                <w:sz w:val="18"/>
                <w:szCs w:val="18"/>
              </w:rPr>
              <w:t>N/A</w:t>
            </w:r>
          </w:p>
        </w:tc>
      </w:tr>
      <w:tr w:rsidR="00E025FA" w14:paraId="4D55230A" w14:textId="77777777" w:rsidTr="003626AF">
        <w:trPr>
          <w:cantSplit/>
        </w:trPr>
        <w:tc>
          <w:tcPr>
            <w:tcW w:w="3095" w:type="dxa"/>
          </w:tcPr>
          <w:p w14:paraId="60248C9A" w14:textId="2765DCA2" w:rsidR="00E025FA" w:rsidRPr="00DE5BDF" w:rsidRDefault="00E025FA" w:rsidP="00E025FA">
            <w:pPr>
              <w:rPr>
                <w:rFonts w:cs="Arial"/>
                <w:sz w:val="18"/>
                <w:szCs w:val="18"/>
              </w:rPr>
            </w:pPr>
            <w:r w:rsidRPr="00DE5BDF">
              <w:rPr>
                <w:rFonts w:cs="Arial"/>
                <w:sz w:val="18"/>
                <w:szCs w:val="18"/>
              </w:rPr>
              <w:t>Tri-sodium, citrate dehydrate</w:t>
            </w:r>
          </w:p>
        </w:tc>
        <w:tc>
          <w:tcPr>
            <w:tcW w:w="3095" w:type="dxa"/>
          </w:tcPr>
          <w:p w14:paraId="7532DA0A" w14:textId="2805EFB8" w:rsidR="00E025FA" w:rsidRPr="00DE5BDF" w:rsidRDefault="00E025FA" w:rsidP="00E025FA">
            <w:pPr>
              <w:rPr>
                <w:rFonts w:cs="Arial"/>
                <w:sz w:val="18"/>
                <w:szCs w:val="18"/>
              </w:rPr>
            </w:pPr>
            <w:r w:rsidRPr="00DE5BDF">
              <w:rPr>
                <w:rFonts w:cs="Arial"/>
                <w:sz w:val="18"/>
                <w:szCs w:val="18"/>
              </w:rPr>
              <w:t>1.5</w:t>
            </w:r>
          </w:p>
        </w:tc>
        <w:tc>
          <w:tcPr>
            <w:tcW w:w="3096" w:type="dxa"/>
          </w:tcPr>
          <w:p w14:paraId="3AE3B9A1" w14:textId="7209298D" w:rsidR="00E025FA" w:rsidRPr="00DE5BDF" w:rsidRDefault="00E025FA" w:rsidP="00E025FA">
            <w:pPr>
              <w:rPr>
                <w:rFonts w:cs="Arial"/>
                <w:sz w:val="18"/>
                <w:szCs w:val="18"/>
              </w:rPr>
            </w:pPr>
            <w:r w:rsidRPr="00DE5BDF">
              <w:rPr>
                <w:rFonts w:cs="Arial"/>
                <w:sz w:val="18"/>
                <w:szCs w:val="18"/>
              </w:rPr>
              <w:t>N/A</w:t>
            </w:r>
          </w:p>
        </w:tc>
      </w:tr>
      <w:tr w:rsidR="00E025FA" w14:paraId="3E60C5C3" w14:textId="77777777" w:rsidTr="003626AF">
        <w:trPr>
          <w:cantSplit/>
        </w:trPr>
        <w:tc>
          <w:tcPr>
            <w:tcW w:w="3095" w:type="dxa"/>
          </w:tcPr>
          <w:p w14:paraId="562E1065" w14:textId="4B05D7C1" w:rsidR="00E025FA" w:rsidRPr="00DE5BDF" w:rsidRDefault="00E025FA" w:rsidP="00E025FA">
            <w:pPr>
              <w:rPr>
                <w:rFonts w:cs="Arial"/>
                <w:sz w:val="18"/>
                <w:szCs w:val="18"/>
              </w:rPr>
            </w:pPr>
            <w:r w:rsidRPr="00DE5BDF">
              <w:rPr>
                <w:rFonts w:cs="Arial"/>
                <w:sz w:val="18"/>
                <w:szCs w:val="18"/>
              </w:rPr>
              <w:t>Citric acid, anhydrous</w:t>
            </w:r>
          </w:p>
        </w:tc>
        <w:tc>
          <w:tcPr>
            <w:tcW w:w="3095" w:type="dxa"/>
          </w:tcPr>
          <w:p w14:paraId="4037E3C2" w14:textId="10085665" w:rsidR="00E025FA" w:rsidRPr="00DE5BDF" w:rsidRDefault="00E025FA" w:rsidP="00E025FA">
            <w:pPr>
              <w:rPr>
                <w:rFonts w:cs="Arial"/>
                <w:sz w:val="18"/>
                <w:szCs w:val="18"/>
              </w:rPr>
            </w:pPr>
            <w:r w:rsidRPr="00DE5BDF">
              <w:rPr>
                <w:rFonts w:cs="Arial"/>
                <w:sz w:val="18"/>
                <w:szCs w:val="18"/>
              </w:rPr>
              <w:t>1</w:t>
            </w:r>
          </w:p>
        </w:tc>
        <w:tc>
          <w:tcPr>
            <w:tcW w:w="3096" w:type="dxa"/>
          </w:tcPr>
          <w:p w14:paraId="3B2966FD" w14:textId="648C0945" w:rsidR="00E025FA" w:rsidRPr="00DE5BDF" w:rsidRDefault="00E025FA" w:rsidP="00E025FA">
            <w:pPr>
              <w:rPr>
                <w:rFonts w:cs="Arial"/>
                <w:sz w:val="18"/>
                <w:szCs w:val="18"/>
              </w:rPr>
            </w:pPr>
            <w:r w:rsidRPr="00DE5BDF">
              <w:rPr>
                <w:rFonts w:cs="Arial"/>
                <w:sz w:val="18"/>
                <w:szCs w:val="18"/>
              </w:rPr>
              <w:t>N/A</w:t>
            </w:r>
          </w:p>
        </w:tc>
      </w:tr>
      <w:tr w:rsidR="00E025FA" w14:paraId="753D3168" w14:textId="77777777" w:rsidTr="003626AF">
        <w:trPr>
          <w:cantSplit/>
        </w:trPr>
        <w:tc>
          <w:tcPr>
            <w:tcW w:w="3095" w:type="dxa"/>
          </w:tcPr>
          <w:p w14:paraId="218F991E" w14:textId="548E2ED8" w:rsidR="00E025FA" w:rsidRPr="00DE5BDF" w:rsidRDefault="00E025FA" w:rsidP="00E025FA">
            <w:pPr>
              <w:rPr>
                <w:rFonts w:cs="Arial"/>
                <w:sz w:val="18"/>
                <w:szCs w:val="18"/>
              </w:rPr>
            </w:pPr>
            <w:r w:rsidRPr="00DE5BDF">
              <w:rPr>
                <w:rFonts w:cs="Arial"/>
                <w:sz w:val="18"/>
                <w:szCs w:val="18"/>
              </w:rPr>
              <w:t>Sodium benzoate</w:t>
            </w:r>
          </w:p>
        </w:tc>
        <w:tc>
          <w:tcPr>
            <w:tcW w:w="3095" w:type="dxa"/>
          </w:tcPr>
          <w:p w14:paraId="1CF1CE1F" w14:textId="277F5AB2" w:rsidR="00E025FA" w:rsidRPr="00DE5BDF" w:rsidRDefault="00E025FA" w:rsidP="00E025FA">
            <w:pPr>
              <w:rPr>
                <w:rFonts w:cs="Arial"/>
                <w:sz w:val="18"/>
                <w:szCs w:val="18"/>
              </w:rPr>
            </w:pPr>
            <w:r w:rsidRPr="00DE5BDF">
              <w:rPr>
                <w:rFonts w:cs="Arial"/>
                <w:sz w:val="18"/>
                <w:szCs w:val="18"/>
              </w:rPr>
              <w:t>0.5</w:t>
            </w:r>
          </w:p>
        </w:tc>
        <w:tc>
          <w:tcPr>
            <w:tcW w:w="3096" w:type="dxa"/>
          </w:tcPr>
          <w:p w14:paraId="037D33E9" w14:textId="6B4C906D" w:rsidR="00E025FA" w:rsidRPr="00DE5BDF" w:rsidRDefault="00E025FA" w:rsidP="00E025FA">
            <w:pPr>
              <w:rPr>
                <w:rFonts w:cs="Arial"/>
                <w:sz w:val="18"/>
                <w:szCs w:val="18"/>
              </w:rPr>
            </w:pPr>
            <w:r w:rsidRPr="00DE5BDF">
              <w:rPr>
                <w:rFonts w:cs="Arial"/>
                <w:sz w:val="18"/>
                <w:szCs w:val="18"/>
              </w:rPr>
              <w:t>N/A</w:t>
            </w:r>
          </w:p>
        </w:tc>
      </w:tr>
      <w:tr w:rsidR="00E025FA" w14:paraId="2825E274" w14:textId="77777777" w:rsidTr="003626AF">
        <w:trPr>
          <w:cantSplit/>
        </w:trPr>
        <w:tc>
          <w:tcPr>
            <w:tcW w:w="3095" w:type="dxa"/>
          </w:tcPr>
          <w:p w14:paraId="479D52B9" w14:textId="2F4BD36C" w:rsidR="00E025FA" w:rsidRPr="00DE5BDF" w:rsidRDefault="00E025FA" w:rsidP="00E025FA">
            <w:pPr>
              <w:rPr>
                <w:rFonts w:cs="Arial"/>
                <w:sz w:val="18"/>
                <w:szCs w:val="18"/>
              </w:rPr>
            </w:pPr>
            <w:r w:rsidRPr="00DE5BDF">
              <w:rPr>
                <w:rFonts w:cs="Arial"/>
                <w:sz w:val="18"/>
                <w:szCs w:val="18"/>
              </w:rPr>
              <w:t>Water</w:t>
            </w:r>
          </w:p>
        </w:tc>
        <w:tc>
          <w:tcPr>
            <w:tcW w:w="3095" w:type="dxa"/>
          </w:tcPr>
          <w:p w14:paraId="797B6B6E" w14:textId="333DD2C6" w:rsidR="00E025FA" w:rsidRPr="00DE5BDF" w:rsidRDefault="00E025FA" w:rsidP="00E025FA">
            <w:pPr>
              <w:rPr>
                <w:rFonts w:cs="Arial"/>
                <w:sz w:val="18"/>
                <w:szCs w:val="18"/>
              </w:rPr>
            </w:pPr>
            <w:r w:rsidRPr="00DE5BDF">
              <w:rPr>
                <w:rFonts w:cs="Arial"/>
                <w:sz w:val="18"/>
                <w:szCs w:val="18"/>
              </w:rPr>
              <w:t>29</w:t>
            </w:r>
          </w:p>
        </w:tc>
        <w:tc>
          <w:tcPr>
            <w:tcW w:w="3096" w:type="dxa"/>
          </w:tcPr>
          <w:p w14:paraId="0ED54E34" w14:textId="734DA92B" w:rsidR="00E025FA" w:rsidRPr="00DE5BDF" w:rsidRDefault="00E025FA" w:rsidP="00E025FA">
            <w:pPr>
              <w:rPr>
                <w:rFonts w:cs="Arial"/>
                <w:sz w:val="18"/>
                <w:szCs w:val="18"/>
              </w:rPr>
            </w:pPr>
            <w:r w:rsidRPr="00DE5BDF">
              <w:rPr>
                <w:rFonts w:cs="Arial"/>
                <w:sz w:val="18"/>
                <w:szCs w:val="18"/>
              </w:rPr>
              <w:t>N/A</w:t>
            </w:r>
          </w:p>
        </w:tc>
      </w:tr>
      <w:tr w:rsidR="00B421AE" w14:paraId="71C2028D" w14:textId="77777777" w:rsidTr="003626AF">
        <w:trPr>
          <w:cantSplit/>
        </w:trPr>
        <w:tc>
          <w:tcPr>
            <w:tcW w:w="3095" w:type="dxa"/>
          </w:tcPr>
          <w:p w14:paraId="30AC4B72" w14:textId="64B521D6" w:rsidR="00B421AE" w:rsidRPr="006A36B6" w:rsidRDefault="00B421AE" w:rsidP="003D24F4">
            <w:pPr>
              <w:rPr>
                <w:rFonts w:cs="Arial"/>
                <w:sz w:val="18"/>
                <w:szCs w:val="18"/>
              </w:rPr>
            </w:pPr>
            <w:r w:rsidRPr="006A36B6">
              <w:rPr>
                <w:rFonts w:cs="Arial"/>
                <w:sz w:val="18"/>
                <w:szCs w:val="18"/>
              </w:rPr>
              <w:t>Sunflower oil</w:t>
            </w:r>
          </w:p>
        </w:tc>
        <w:tc>
          <w:tcPr>
            <w:tcW w:w="3095" w:type="dxa"/>
          </w:tcPr>
          <w:p w14:paraId="5CD715D3" w14:textId="5801583E" w:rsidR="00B421AE" w:rsidRPr="006A36B6" w:rsidRDefault="0041273B" w:rsidP="003D24F4">
            <w:pPr>
              <w:rPr>
                <w:rFonts w:cs="Arial"/>
                <w:sz w:val="18"/>
                <w:szCs w:val="18"/>
              </w:rPr>
            </w:pPr>
            <w:r>
              <w:rPr>
                <w:rFonts w:cs="Arial"/>
                <w:sz w:val="18"/>
                <w:szCs w:val="18"/>
              </w:rPr>
              <w:t>N/A</w:t>
            </w:r>
          </w:p>
        </w:tc>
        <w:tc>
          <w:tcPr>
            <w:tcW w:w="3096" w:type="dxa"/>
          </w:tcPr>
          <w:p w14:paraId="426D2F72" w14:textId="72A28585" w:rsidR="00B421AE" w:rsidRPr="006A36B6" w:rsidRDefault="00B421AE" w:rsidP="003D24F4">
            <w:pPr>
              <w:rPr>
                <w:rFonts w:cs="Arial"/>
                <w:sz w:val="18"/>
                <w:szCs w:val="18"/>
              </w:rPr>
            </w:pPr>
            <w:r w:rsidRPr="006A36B6">
              <w:rPr>
                <w:rFonts w:cs="Arial"/>
                <w:sz w:val="18"/>
                <w:szCs w:val="18"/>
              </w:rPr>
              <w:t>0.5</w:t>
            </w:r>
          </w:p>
        </w:tc>
      </w:tr>
      <w:tr w:rsidR="00B421AE" w14:paraId="2822F903" w14:textId="77777777" w:rsidTr="003626AF">
        <w:trPr>
          <w:cantSplit/>
        </w:trPr>
        <w:tc>
          <w:tcPr>
            <w:tcW w:w="3095" w:type="dxa"/>
          </w:tcPr>
          <w:p w14:paraId="3AEBF098" w14:textId="6E547724" w:rsidR="00B421AE" w:rsidRPr="006A36B6" w:rsidRDefault="00B421AE" w:rsidP="003D24F4">
            <w:pPr>
              <w:rPr>
                <w:rFonts w:cs="Arial"/>
                <w:sz w:val="18"/>
                <w:szCs w:val="18"/>
              </w:rPr>
            </w:pPr>
            <w:r w:rsidRPr="006A36B6">
              <w:rPr>
                <w:rFonts w:cs="Arial"/>
                <w:sz w:val="18"/>
                <w:szCs w:val="18"/>
              </w:rPr>
              <w:t>Wheat flour</w:t>
            </w:r>
          </w:p>
        </w:tc>
        <w:tc>
          <w:tcPr>
            <w:tcW w:w="3095" w:type="dxa"/>
          </w:tcPr>
          <w:p w14:paraId="0879D22F" w14:textId="492DC7C8" w:rsidR="00B421AE" w:rsidRPr="006A36B6" w:rsidRDefault="0041273B" w:rsidP="003D24F4">
            <w:pPr>
              <w:rPr>
                <w:rFonts w:cs="Arial"/>
                <w:sz w:val="18"/>
                <w:szCs w:val="18"/>
              </w:rPr>
            </w:pPr>
            <w:r>
              <w:rPr>
                <w:rFonts w:cs="Arial"/>
                <w:sz w:val="18"/>
                <w:szCs w:val="18"/>
              </w:rPr>
              <w:t>N/A</w:t>
            </w:r>
          </w:p>
        </w:tc>
        <w:tc>
          <w:tcPr>
            <w:tcW w:w="3096" w:type="dxa"/>
          </w:tcPr>
          <w:p w14:paraId="44811C2E" w14:textId="0F838715" w:rsidR="00B421AE" w:rsidRPr="006A36B6" w:rsidRDefault="00B421AE" w:rsidP="003D24F4">
            <w:pPr>
              <w:rPr>
                <w:rFonts w:cs="Arial"/>
                <w:sz w:val="18"/>
                <w:szCs w:val="18"/>
              </w:rPr>
            </w:pPr>
            <w:r w:rsidRPr="006A36B6">
              <w:rPr>
                <w:rFonts w:cs="Arial"/>
                <w:sz w:val="18"/>
                <w:szCs w:val="18"/>
              </w:rPr>
              <w:t>95.5</w:t>
            </w:r>
          </w:p>
        </w:tc>
      </w:tr>
    </w:tbl>
    <w:p w14:paraId="013ED6B3" w14:textId="77777777" w:rsidR="00B421AE" w:rsidRDefault="00B421AE" w:rsidP="003D24F4">
      <w:pPr>
        <w:rPr>
          <w:rFonts w:cs="Arial"/>
        </w:rPr>
      </w:pPr>
    </w:p>
    <w:p w14:paraId="7351AED7" w14:textId="77777777" w:rsidR="006A558D" w:rsidRDefault="006A558D">
      <w:pPr>
        <w:widowControl/>
        <w:rPr>
          <w:rFonts w:cs="Arial"/>
          <w:b/>
          <w:bCs/>
          <w:kern w:val="32"/>
          <w:szCs w:val="32"/>
          <w:lang w:eastAsia="en-AU" w:bidi="ar-SA"/>
        </w:rPr>
      </w:pPr>
      <w:r>
        <w:br w:type="page"/>
      </w:r>
    </w:p>
    <w:p w14:paraId="69B09577" w14:textId="633E97C8" w:rsidR="00F43FB8" w:rsidRPr="00D67005" w:rsidRDefault="00F43FB8" w:rsidP="00D67005">
      <w:pPr>
        <w:pStyle w:val="FSCh3Standard"/>
      </w:pPr>
      <w:bookmarkStart w:id="23" w:name="_Toc505255634"/>
      <w:r w:rsidRPr="00A07EAC">
        <w:t>2.</w:t>
      </w:r>
      <w:r w:rsidR="00F624BA">
        <w:t>6</w:t>
      </w:r>
      <w:r w:rsidRPr="00A07EAC">
        <w:t xml:space="preserve"> </w:t>
      </w:r>
      <w:r w:rsidR="00E17444">
        <w:t>T</w:t>
      </w:r>
      <w:r w:rsidRPr="00A07EAC">
        <w:t>echnolog</w:t>
      </w:r>
      <w:r w:rsidR="00E17444">
        <w:t>ical</w:t>
      </w:r>
      <w:r w:rsidRPr="00A07EAC">
        <w:t xml:space="preserve"> justification</w:t>
      </w:r>
      <w:bookmarkEnd w:id="23"/>
    </w:p>
    <w:p w14:paraId="69C50DD5" w14:textId="242CC140" w:rsidR="00F57BF0" w:rsidRPr="00EC33C0" w:rsidRDefault="00F57BF0" w:rsidP="00F57BF0">
      <w:pPr>
        <w:rPr>
          <w:lang w:eastAsia="en-AU" w:bidi="ar-SA"/>
        </w:rPr>
      </w:pPr>
      <w:r>
        <w:rPr>
          <w:rFonts w:cs="Arial"/>
        </w:rPr>
        <w:t xml:space="preserve">Endo-1,4-β-xylanase </w:t>
      </w:r>
      <w:r w:rsidR="00EC33C0">
        <w:rPr>
          <w:rFonts w:cs="Arial"/>
        </w:rPr>
        <w:t xml:space="preserve">is intended </w:t>
      </w:r>
      <w:r>
        <w:rPr>
          <w:lang w:eastAsia="en-AU" w:bidi="ar-SA"/>
        </w:rPr>
        <w:t xml:space="preserve">for use in </w:t>
      </w:r>
      <w:r>
        <w:t xml:space="preserve">bakery products, cereal products, </w:t>
      </w:r>
      <w:r w:rsidR="002843E6">
        <w:t xml:space="preserve">grain, </w:t>
      </w:r>
      <w:r w:rsidR="00695983">
        <w:t>beer and cereal based beverages</w:t>
      </w:r>
      <w:r>
        <w:t xml:space="preserve"> and alcohol</w:t>
      </w:r>
      <w:r>
        <w:rPr>
          <w:lang w:eastAsia="en-AU" w:bidi="ar-SA"/>
        </w:rPr>
        <w:t xml:space="preserve">. </w:t>
      </w:r>
      <w:r w:rsidR="009B06EB">
        <w:rPr>
          <w:rFonts w:cs="Arial"/>
        </w:rPr>
        <w:t xml:space="preserve">The use of endo-1,4-β-xylanase results in hydrolysis of the insoluble arabinoxylans and depolymerisation to more soluble lower molecular weight arabinoxylans. </w:t>
      </w:r>
      <w:r>
        <w:rPr>
          <w:rFonts w:cs="Arial"/>
        </w:rPr>
        <w:t xml:space="preserve">Further details are provided below on </w:t>
      </w:r>
      <w:r w:rsidR="003626AF">
        <w:rPr>
          <w:rFonts w:cs="Arial"/>
        </w:rPr>
        <w:t>the technological purpose and benefits for</w:t>
      </w:r>
      <w:r>
        <w:rPr>
          <w:rFonts w:cs="Arial"/>
        </w:rPr>
        <w:t xml:space="preserve"> food applications.</w:t>
      </w:r>
    </w:p>
    <w:p w14:paraId="5A11EE90" w14:textId="4568BD0A" w:rsidR="00F57BF0" w:rsidRPr="00042434" w:rsidRDefault="00A07EAC" w:rsidP="003325B4">
      <w:pPr>
        <w:pStyle w:val="Heading4"/>
      </w:pPr>
      <w:r w:rsidRPr="00042434">
        <w:t>2.</w:t>
      </w:r>
      <w:r w:rsidR="00F624BA">
        <w:t>6</w:t>
      </w:r>
      <w:r w:rsidRPr="00042434">
        <w:t>.1</w:t>
      </w:r>
      <w:r w:rsidRPr="00042434">
        <w:tab/>
      </w:r>
      <w:r w:rsidR="00F57BF0" w:rsidRPr="00042434">
        <w:t xml:space="preserve">Bakery </w:t>
      </w:r>
      <w:r w:rsidR="00652CD6">
        <w:t xml:space="preserve">and cereal based </w:t>
      </w:r>
      <w:r w:rsidR="00F57BF0" w:rsidRPr="00042434">
        <w:t>products</w:t>
      </w:r>
    </w:p>
    <w:p w14:paraId="7E8B60CA" w14:textId="7CD57C11" w:rsidR="00F57BF0" w:rsidRDefault="00F57BF0" w:rsidP="00F57BF0">
      <w:pPr>
        <w:rPr>
          <w:rFonts w:cs="Arial"/>
        </w:rPr>
      </w:pPr>
      <w:r>
        <w:rPr>
          <w:rFonts w:cs="Arial"/>
        </w:rPr>
        <w:t>Endo-1,4-β-xylanase can be used in the manufacture of bakery products</w:t>
      </w:r>
      <w:r w:rsidR="00AD6050">
        <w:rPr>
          <w:rFonts w:cs="Arial"/>
        </w:rPr>
        <w:t xml:space="preserve"> </w:t>
      </w:r>
      <w:r w:rsidR="003626AF">
        <w:rPr>
          <w:rFonts w:cs="Arial"/>
        </w:rPr>
        <w:t>including</w:t>
      </w:r>
      <w:r w:rsidR="00AD6050">
        <w:rPr>
          <w:rFonts w:cs="Arial"/>
        </w:rPr>
        <w:t xml:space="preserve"> breads</w:t>
      </w:r>
      <w:r>
        <w:rPr>
          <w:rFonts w:cs="Arial"/>
        </w:rPr>
        <w:t xml:space="preserve">, biscuits, steamed bread, cakes, pancakes, tortillas, wafers and waffles. During </w:t>
      </w:r>
      <w:r w:rsidR="002F52E0">
        <w:rPr>
          <w:rFonts w:cs="Arial"/>
        </w:rPr>
        <w:t xml:space="preserve">bakery </w:t>
      </w:r>
      <w:r>
        <w:rPr>
          <w:rFonts w:cs="Arial"/>
        </w:rPr>
        <w:t>processes endo-1,4-β-xylanase interacts with gluten</w:t>
      </w:r>
      <w:r w:rsidR="002F52E0">
        <w:rPr>
          <w:rFonts w:cs="Arial"/>
        </w:rPr>
        <w:t xml:space="preserve"> and</w:t>
      </w:r>
      <w:r>
        <w:rPr>
          <w:rFonts w:cs="Arial"/>
        </w:rPr>
        <w:t xml:space="preserve"> binds water </w:t>
      </w:r>
      <w:r w:rsidR="002F52E0">
        <w:rPr>
          <w:rFonts w:cs="Arial"/>
        </w:rPr>
        <w:t>by hydrolysis of arabinoxylans</w:t>
      </w:r>
      <w:r>
        <w:rPr>
          <w:rFonts w:cs="Arial"/>
        </w:rPr>
        <w:t xml:space="preserve">. </w:t>
      </w:r>
      <w:r w:rsidR="00F3074E">
        <w:rPr>
          <w:rFonts w:cs="Arial"/>
        </w:rPr>
        <w:t xml:space="preserve">This </w:t>
      </w:r>
      <w:r w:rsidR="003626AF">
        <w:rPr>
          <w:rFonts w:cs="Arial"/>
        </w:rPr>
        <w:t>provides the following benefits</w:t>
      </w:r>
      <w:r w:rsidR="00652CD6">
        <w:rPr>
          <w:rFonts w:cs="Arial"/>
        </w:rPr>
        <w:t>:</w:t>
      </w:r>
      <w:r>
        <w:rPr>
          <w:rFonts w:cs="Arial"/>
        </w:rPr>
        <w:t xml:space="preserve"> </w:t>
      </w:r>
    </w:p>
    <w:p w14:paraId="264AFBCA" w14:textId="77777777" w:rsidR="00D0431B" w:rsidRDefault="00D0431B" w:rsidP="00F57BF0">
      <w:pPr>
        <w:rPr>
          <w:rFonts w:cs="Arial"/>
        </w:rPr>
      </w:pPr>
    </w:p>
    <w:p w14:paraId="5E2D4B33" w14:textId="60C86339" w:rsidR="00F3074E" w:rsidRDefault="00652CD6" w:rsidP="00136D5E">
      <w:pPr>
        <w:pStyle w:val="FSBullet1"/>
      </w:pPr>
      <w:r>
        <w:t>easier d</w:t>
      </w:r>
      <w:r w:rsidR="00F3074E">
        <w:t>ough handling – improved extensibility and stability, reduced stickiness leading to reduced dough loss</w:t>
      </w:r>
      <w:r>
        <w:t xml:space="preserve">, reduced drying time for noodles and snacks </w:t>
      </w:r>
    </w:p>
    <w:p w14:paraId="5C45B631" w14:textId="540DC761" w:rsidR="00F3074E" w:rsidRDefault="00652CD6" w:rsidP="00136D5E">
      <w:pPr>
        <w:pStyle w:val="FSBullet1"/>
      </w:pPr>
      <w:r>
        <w:t>d</w:t>
      </w:r>
      <w:r w:rsidR="00F3074E">
        <w:t>ough structure – uniform and increased volume, improved crumb structure</w:t>
      </w:r>
      <w:r>
        <w:t xml:space="preserve"> </w:t>
      </w:r>
    </w:p>
    <w:p w14:paraId="523FDB7F" w14:textId="43EB3F88" w:rsidR="00F3074E" w:rsidRPr="00F3074E" w:rsidRDefault="00652CD6" w:rsidP="00136D5E">
      <w:pPr>
        <w:pStyle w:val="FSBullet1"/>
      </w:pPr>
      <w:r>
        <w:t>r</w:t>
      </w:r>
      <w:r w:rsidR="00136D5E">
        <w:t>educed batter viscosity – beneficial for making waffles, pancakes, biscuits</w:t>
      </w:r>
      <w:r>
        <w:t>, and</w:t>
      </w:r>
    </w:p>
    <w:p w14:paraId="0682577C" w14:textId="7DCE85CB" w:rsidR="00D10CD3" w:rsidRDefault="00652CD6" w:rsidP="00D10CD3">
      <w:pPr>
        <w:pStyle w:val="FSBullet1"/>
      </w:pPr>
      <w:r>
        <w:t>i</w:t>
      </w:r>
      <w:r w:rsidR="00D10CD3">
        <w:t>ncreased firmness and reduced oil absorption in instant noodles</w:t>
      </w:r>
      <w:r>
        <w:t>.</w:t>
      </w:r>
    </w:p>
    <w:p w14:paraId="2088E7DF" w14:textId="2FAC0CC0" w:rsidR="00F57BF0" w:rsidRDefault="003325B4" w:rsidP="003325B4">
      <w:pPr>
        <w:pStyle w:val="Heading4"/>
      </w:pPr>
      <w:r>
        <w:t>2.</w:t>
      </w:r>
      <w:r w:rsidR="00F624BA">
        <w:t>6</w:t>
      </w:r>
      <w:r>
        <w:t>.</w:t>
      </w:r>
      <w:r w:rsidR="00652CD6">
        <w:t xml:space="preserve">2 </w:t>
      </w:r>
      <w:r w:rsidR="00F57BF0" w:rsidRPr="00B47CE2">
        <w:t>Grain</w:t>
      </w:r>
      <w:r w:rsidR="002843E6">
        <w:t xml:space="preserve"> </w:t>
      </w:r>
    </w:p>
    <w:p w14:paraId="1C44C1D9" w14:textId="6FEAD39C" w:rsidR="00FA7BA4" w:rsidRDefault="00F57BF0" w:rsidP="00FA7BA4">
      <w:pPr>
        <w:rPr>
          <w:rFonts w:cs="Arial"/>
        </w:rPr>
      </w:pPr>
      <w:r>
        <w:rPr>
          <w:rFonts w:cs="Arial"/>
        </w:rPr>
        <w:t xml:space="preserve">Endo-1,4-β-xylanase helps facilitate separation of cereal components and ensure high quality of the polysaccharide and gluten fractions. </w:t>
      </w:r>
      <w:r w:rsidR="00FA7BA4">
        <w:rPr>
          <w:rFonts w:cs="Arial"/>
        </w:rPr>
        <w:t>The enzyme is typically added during initial steps of grain processing such as conditioning, homogenisation and dough preparation. The resulting products include flour and cereal fractions such as starch, gluten and fibre. Endo-1,4-β-xylanase is not necessarily inactivated during grain processing, but the flour and cereal fractions are used in further food processes where the enzyme will be inactivated.</w:t>
      </w:r>
    </w:p>
    <w:p w14:paraId="412FCD68" w14:textId="1ABA3C07" w:rsidR="00BF6E0D" w:rsidRDefault="00BF6E0D" w:rsidP="00FA7BA4">
      <w:pPr>
        <w:rPr>
          <w:rFonts w:cs="Arial"/>
        </w:rPr>
      </w:pPr>
      <w:r>
        <w:rPr>
          <w:rFonts w:cs="Arial"/>
        </w:rPr>
        <w:t>The benefits for grain processing include</w:t>
      </w:r>
      <w:r w:rsidR="00E37249">
        <w:rPr>
          <w:rFonts w:cs="Arial"/>
        </w:rPr>
        <w:t>:</w:t>
      </w:r>
    </w:p>
    <w:p w14:paraId="7F036525" w14:textId="77777777" w:rsidR="00D0431B" w:rsidRDefault="00D0431B" w:rsidP="00FA7BA4">
      <w:pPr>
        <w:rPr>
          <w:rFonts w:cs="Arial"/>
        </w:rPr>
      </w:pPr>
    </w:p>
    <w:p w14:paraId="6BE9EAA8" w14:textId="40420C42" w:rsidR="00D10CD3" w:rsidRDefault="00BF6E0D" w:rsidP="00BF6E0D">
      <w:pPr>
        <w:pStyle w:val="FSBullet1"/>
      </w:pPr>
      <w:r>
        <w:t>r</w:t>
      </w:r>
      <w:r w:rsidR="00D10CD3">
        <w:t>educed viscosity of the wheat flour batter – easier gluten and starch separation</w:t>
      </w:r>
    </w:p>
    <w:p w14:paraId="67BA076C" w14:textId="2C90B1D7" w:rsidR="00D10CD3" w:rsidRDefault="006F7FA2" w:rsidP="00BF6E0D">
      <w:pPr>
        <w:pStyle w:val="FSBullet1"/>
      </w:pPr>
      <w:r>
        <w:t>i</w:t>
      </w:r>
      <w:r w:rsidR="00D10CD3">
        <w:t>mproved gluten and starch purity</w:t>
      </w:r>
      <w:r w:rsidR="00BF6E0D">
        <w:t>, and</w:t>
      </w:r>
    </w:p>
    <w:p w14:paraId="4F6A6067" w14:textId="7BEED582" w:rsidR="00D10CD3" w:rsidRPr="00D10CD3" w:rsidRDefault="00BF6E0D" w:rsidP="00BF6E0D">
      <w:pPr>
        <w:pStyle w:val="FSBullet1"/>
      </w:pPr>
      <w:r>
        <w:t>b</w:t>
      </w:r>
      <w:r w:rsidR="00D10CD3">
        <w:t xml:space="preserve">reaking down arabinoxylans </w:t>
      </w:r>
      <w:r>
        <w:t>so</w:t>
      </w:r>
      <w:r w:rsidR="00D10CD3">
        <w:t xml:space="preserve"> milling and peeling </w:t>
      </w:r>
      <w:r>
        <w:t xml:space="preserve">processes </w:t>
      </w:r>
      <w:r w:rsidR="00D10CD3">
        <w:t>are more effective.</w:t>
      </w:r>
    </w:p>
    <w:p w14:paraId="478148CB" w14:textId="1EF3345B" w:rsidR="00F57BF0" w:rsidRDefault="003325B4" w:rsidP="003325B4">
      <w:pPr>
        <w:pStyle w:val="Heading4"/>
      </w:pPr>
      <w:r>
        <w:t>2.</w:t>
      </w:r>
      <w:r w:rsidR="00F624BA">
        <w:t>6</w:t>
      </w:r>
      <w:r>
        <w:t>.</w:t>
      </w:r>
      <w:r w:rsidR="00D67005">
        <w:t>3</w:t>
      </w:r>
      <w:r>
        <w:t xml:space="preserve"> </w:t>
      </w:r>
      <w:r w:rsidR="00094535">
        <w:t>C</w:t>
      </w:r>
      <w:r w:rsidR="00695983">
        <w:t>ereal based beverages</w:t>
      </w:r>
      <w:r w:rsidR="00094535">
        <w:t xml:space="preserve"> including beer</w:t>
      </w:r>
    </w:p>
    <w:p w14:paraId="45D2669E" w14:textId="61BC9F34" w:rsidR="00F57BF0" w:rsidRDefault="00F57BF0" w:rsidP="00F57BF0">
      <w:pPr>
        <w:rPr>
          <w:rFonts w:cs="Arial"/>
        </w:rPr>
      </w:pPr>
      <w:r>
        <w:rPr>
          <w:rFonts w:cs="Arial"/>
        </w:rPr>
        <w:t xml:space="preserve">In brewing, xylans present in the cell walls of the grain contribute to wort and beer viscosity – this can reduce wort and beer filtration. The addition of endo-1,4-β-xylanase helps arabinoxylan conversion resulting in reduced wort viscosity, more efficient filtration, improved extraction and reduced use of filtration aids. </w:t>
      </w:r>
    </w:p>
    <w:p w14:paraId="2449DDD1" w14:textId="6442C979" w:rsidR="00F57BF0" w:rsidRDefault="003325B4" w:rsidP="003325B4">
      <w:pPr>
        <w:pStyle w:val="Heading4"/>
      </w:pPr>
      <w:r>
        <w:t>2.</w:t>
      </w:r>
      <w:r w:rsidR="00F624BA">
        <w:t>6</w:t>
      </w:r>
      <w:r>
        <w:t>.</w:t>
      </w:r>
      <w:r w:rsidR="00D67005">
        <w:t>4</w:t>
      </w:r>
      <w:r>
        <w:t xml:space="preserve"> </w:t>
      </w:r>
      <w:r w:rsidR="00094535">
        <w:t>Potable a</w:t>
      </w:r>
      <w:r w:rsidR="00F57BF0">
        <w:t xml:space="preserve">lcohol </w:t>
      </w:r>
    </w:p>
    <w:p w14:paraId="40CF6CAC" w14:textId="17B340FC" w:rsidR="00F57BF0" w:rsidRDefault="00F57BF0" w:rsidP="00F57BF0">
      <w:pPr>
        <w:rPr>
          <w:rFonts w:cs="Arial"/>
        </w:rPr>
      </w:pPr>
      <w:r w:rsidRPr="006F62B2">
        <w:rPr>
          <w:lang w:bidi="ar-SA"/>
        </w:rPr>
        <w:t xml:space="preserve">In potable alcohol production, high levels of xylans, cellulose, lichenin and </w:t>
      </w:r>
      <w:r w:rsidRPr="006F62B2">
        <w:rPr>
          <w:rFonts w:cs="Arial"/>
          <w:lang w:bidi="ar-SA"/>
        </w:rPr>
        <w:t>β-D-glucans result in high viscosity due to water binding capacity. High viscosity has negative effects on alcohol production as it limits sol</w:t>
      </w:r>
      <w:r w:rsidR="00EE61E1">
        <w:rPr>
          <w:rFonts w:cs="Arial"/>
          <w:lang w:bidi="ar-SA"/>
        </w:rPr>
        <w:t>i</w:t>
      </w:r>
      <w:r w:rsidRPr="006F62B2">
        <w:rPr>
          <w:rFonts w:cs="Arial"/>
          <w:lang w:bidi="ar-SA"/>
        </w:rPr>
        <w:t xml:space="preserve">d concentration in mashing and reduces efficiency in mixing, separation and filtration processes. </w:t>
      </w:r>
      <w:r>
        <w:rPr>
          <w:rFonts w:cs="Arial"/>
        </w:rPr>
        <w:t>Endo-1,4-β-xylanase can be used before liquefaction of highly concentrated mashes</w:t>
      </w:r>
      <w:r w:rsidR="00BF6E0D">
        <w:rPr>
          <w:rFonts w:cs="Arial"/>
        </w:rPr>
        <w:t xml:space="preserve"> to provide the following benefits</w:t>
      </w:r>
      <w:r w:rsidR="00E37249">
        <w:rPr>
          <w:rFonts w:cs="Arial"/>
        </w:rPr>
        <w:t>:</w:t>
      </w:r>
    </w:p>
    <w:p w14:paraId="4F7E6C55" w14:textId="77777777" w:rsidR="00D0431B" w:rsidRDefault="00D0431B" w:rsidP="00F57BF0">
      <w:pPr>
        <w:rPr>
          <w:rFonts w:cs="Arial"/>
        </w:rPr>
      </w:pPr>
    </w:p>
    <w:p w14:paraId="62D82857" w14:textId="21BBDE71" w:rsidR="00B62844" w:rsidRDefault="00BF6E0D" w:rsidP="00BF6E0D">
      <w:pPr>
        <w:pStyle w:val="FSBullet1"/>
      </w:pPr>
      <w:r>
        <w:t>d</w:t>
      </w:r>
      <w:r w:rsidR="00B62844">
        <w:t>ecrease</w:t>
      </w:r>
      <w:r w:rsidR="00E025FA">
        <w:t>d</w:t>
      </w:r>
      <w:r w:rsidR="00B62844">
        <w:t xml:space="preserve"> viscosity of grain mashes</w:t>
      </w:r>
    </w:p>
    <w:p w14:paraId="5C26009A" w14:textId="2633F717" w:rsidR="0069794D" w:rsidRDefault="00BF6E0D" w:rsidP="00BF6E0D">
      <w:pPr>
        <w:pStyle w:val="FSBullet1"/>
      </w:pPr>
      <w:r>
        <w:t>b</w:t>
      </w:r>
      <w:r w:rsidR="0069794D">
        <w:t>etter solid/liquid separation resulting in higher solid concentration during mashing increase in fermentable sugars</w:t>
      </w:r>
    </w:p>
    <w:p w14:paraId="553B6675" w14:textId="2318B4EE" w:rsidR="0069794D" w:rsidRDefault="00BF6E0D" w:rsidP="00BF6E0D">
      <w:pPr>
        <w:pStyle w:val="FSBullet1"/>
      </w:pPr>
      <w:r>
        <w:t>f</w:t>
      </w:r>
      <w:r w:rsidR="0069794D">
        <w:t>lexibility to use more grain and less water</w:t>
      </w:r>
      <w:r>
        <w:t>, and</w:t>
      </w:r>
    </w:p>
    <w:p w14:paraId="7C0E459D" w14:textId="5E8B3860" w:rsidR="0069794D" w:rsidRPr="0069794D" w:rsidRDefault="00BF6E0D" w:rsidP="00BF6E0D">
      <w:pPr>
        <w:pStyle w:val="FSBullet1"/>
      </w:pPr>
      <w:r>
        <w:t>r</w:t>
      </w:r>
      <w:r w:rsidR="0069794D">
        <w:t xml:space="preserve">educed fuel consumption based on better </w:t>
      </w:r>
      <w:r w:rsidR="00D0431B">
        <w:t xml:space="preserve">heat </w:t>
      </w:r>
      <w:r w:rsidR="0069794D">
        <w:t>transfer</w:t>
      </w:r>
      <w:r>
        <w:t>.</w:t>
      </w:r>
    </w:p>
    <w:p w14:paraId="4724BA7D" w14:textId="76D8CF61" w:rsidR="0075550B" w:rsidRPr="00D67005" w:rsidRDefault="00535162" w:rsidP="00D67005">
      <w:pPr>
        <w:pStyle w:val="FSCh3Standard"/>
      </w:pPr>
      <w:bookmarkStart w:id="24" w:name="_Toc505255635"/>
      <w:r>
        <w:t>2.</w:t>
      </w:r>
      <w:r w:rsidR="00F624BA">
        <w:t>7</w:t>
      </w:r>
      <w:r>
        <w:t xml:space="preserve"> </w:t>
      </w:r>
      <w:r w:rsidR="0075550B" w:rsidRPr="00F43FB8">
        <w:t>Production</w:t>
      </w:r>
      <w:r w:rsidR="0075550B">
        <w:t xml:space="preserve"> of the enzyme</w:t>
      </w:r>
      <w:bookmarkEnd w:id="18"/>
      <w:bookmarkEnd w:id="22"/>
      <w:bookmarkEnd w:id="24"/>
    </w:p>
    <w:p w14:paraId="7CDFFD01" w14:textId="40E246D5" w:rsidR="00BE42B4" w:rsidRDefault="001F01C9" w:rsidP="001F01C9">
      <w:pPr>
        <w:rPr>
          <w:rFonts w:cs="Arial"/>
        </w:rPr>
      </w:pPr>
      <w:r>
        <w:rPr>
          <w:rFonts w:cs="Arial"/>
        </w:rPr>
        <w:t>All production processes for the endo-1,4-</w:t>
      </w:r>
      <w:r w:rsidRPr="002E2590">
        <w:rPr>
          <w:rFonts w:cs="Arial"/>
        </w:rPr>
        <w:t>β</w:t>
      </w:r>
      <w:r>
        <w:rPr>
          <w:rFonts w:cs="Arial"/>
        </w:rPr>
        <w:t>-xylanase enzyme preparation are supported by</w:t>
      </w:r>
      <w:r w:rsidRPr="00040A4E">
        <w:rPr>
          <w:rFonts w:cs="Arial"/>
        </w:rPr>
        <w:t xml:space="preserve"> quality control </w:t>
      </w:r>
      <w:r>
        <w:rPr>
          <w:rFonts w:cs="Arial"/>
        </w:rPr>
        <w:t>systems</w:t>
      </w:r>
      <w:r w:rsidRPr="00040A4E">
        <w:rPr>
          <w:rFonts w:cs="Arial"/>
        </w:rPr>
        <w:t xml:space="preserve">. </w:t>
      </w:r>
      <w:r w:rsidR="00BE42B4">
        <w:rPr>
          <w:rFonts w:cs="Arial"/>
        </w:rPr>
        <w:t>Endo-1,4-</w:t>
      </w:r>
      <w:r w:rsidR="00BE42B4" w:rsidRPr="002E2590">
        <w:rPr>
          <w:rFonts w:cs="Arial"/>
        </w:rPr>
        <w:t>β</w:t>
      </w:r>
      <w:r w:rsidR="00BE42B4">
        <w:rPr>
          <w:rFonts w:cs="Arial"/>
        </w:rPr>
        <w:t>-xylanase is manufactured in accordance with good manufacturing practices for food and the Hazard Analysis of Critical Control Points</w:t>
      </w:r>
      <w:r w:rsidR="00B83E98">
        <w:rPr>
          <w:rFonts w:cs="Arial"/>
        </w:rPr>
        <w:t xml:space="preserve"> (HACCP)</w:t>
      </w:r>
      <w:r w:rsidR="00BE42B4">
        <w:rPr>
          <w:rFonts w:cs="Arial"/>
        </w:rPr>
        <w:t xml:space="preserve">. </w:t>
      </w:r>
      <w:r w:rsidR="00B83E98">
        <w:rPr>
          <w:rFonts w:cs="Arial"/>
        </w:rPr>
        <w:t xml:space="preserve">The </w:t>
      </w:r>
      <w:r w:rsidR="00D0431B">
        <w:rPr>
          <w:rFonts w:cs="Arial"/>
        </w:rPr>
        <w:t>A</w:t>
      </w:r>
      <w:r w:rsidR="00B83E98">
        <w:rPr>
          <w:rFonts w:cs="Arial"/>
        </w:rPr>
        <w:t xml:space="preserve">pplication includes ISO </w:t>
      </w:r>
      <w:r w:rsidR="00E025FA">
        <w:rPr>
          <w:rFonts w:cs="Arial"/>
        </w:rPr>
        <w:t xml:space="preserve">9001 and 22000 </w:t>
      </w:r>
      <w:r w:rsidR="00B83E98">
        <w:rPr>
          <w:rFonts w:cs="Arial"/>
        </w:rPr>
        <w:t xml:space="preserve">certification for production and manufacture of enzymes </w:t>
      </w:r>
      <w:r w:rsidR="00897A69">
        <w:rPr>
          <w:rFonts w:cs="Arial"/>
        </w:rPr>
        <w:t>and</w:t>
      </w:r>
      <w:r w:rsidR="00B83E98">
        <w:rPr>
          <w:rFonts w:cs="Arial"/>
        </w:rPr>
        <w:t xml:space="preserve"> HACCP certification for food safety management systems</w:t>
      </w:r>
      <w:r w:rsidR="00897A69">
        <w:rPr>
          <w:rFonts w:cs="Arial"/>
        </w:rPr>
        <w:t xml:space="preserve">. The production site is also inspected </w:t>
      </w:r>
      <w:r w:rsidR="001A1A37">
        <w:rPr>
          <w:rFonts w:cs="Arial"/>
        </w:rPr>
        <w:t xml:space="preserve">and certified in accordance with </w:t>
      </w:r>
      <w:r w:rsidR="00897A69">
        <w:rPr>
          <w:rFonts w:cs="Arial"/>
        </w:rPr>
        <w:t xml:space="preserve">national and European food legislation for food production. </w:t>
      </w:r>
    </w:p>
    <w:p w14:paraId="35F4C8CA" w14:textId="679573D1" w:rsidR="00BE42B4" w:rsidRDefault="00BE42B4" w:rsidP="00BE42B4">
      <w:pPr>
        <w:rPr>
          <w:rFonts w:cs="Arial"/>
        </w:rPr>
      </w:pPr>
    </w:p>
    <w:p w14:paraId="6B89147B" w14:textId="49275908" w:rsidR="00724D00" w:rsidRDefault="00724D00" w:rsidP="00BE42B4">
      <w:pPr>
        <w:rPr>
          <w:rFonts w:cs="Arial"/>
        </w:rPr>
      </w:pPr>
      <w:r>
        <w:rPr>
          <w:rFonts w:cs="Arial"/>
        </w:rPr>
        <w:t>P</w:t>
      </w:r>
      <w:r w:rsidRPr="00040A4E">
        <w:rPr>
          <w:rFonts w:cs="Arial"/>
        </w:rPr>
        <w:t xml:space="preserve">roduction </w:t>
      </w:r>
      <w:r>
        <w:rPr>
          <w:rFonts w:cs="Arial"/>
        </w:rPr>
        <w:t>includes</w:t>
      </w:r>
      <w:r w:rsidRPr="00040A4E">
        <w:rPr>
          <w:rFonts w:cs="Arial"/>
        </w:rPr>
        <w:t xml:space="preserve"> </w:t>
      </w:r>
      <w:r>
        <w:rPr>
          <w:rFonts w:cs="Arial"/>
        </w:rPr>
        <w:t xml:space="preserve">a </w:t>
      </w:r>
      <w:r w:rsidRPr="00040A4E">
        <w:rPr>
          <w:rFonts w:cs="Arial"/>
        </w:rPr>
        <w:t>fermentation</w:t>
      </w:r>
      <w:r>
        <w:rPr>
          <w:rFonts w:cs="Arial"/>
        </w:rPr>
        <w:t xml:space="preserve"> process, recovery process and</w:t>
      </w:r>
      <w:r w:rsidRPr="00040A4E">
        <w:rPr>
          <w:rFonts w:cs="Arial"/>
        </w:rPr>
        <w:t xml:space="preserve"> formulation of the final commercial enzyme preparation</w:t>
      </w:r>
      <w:r w:rsidR="00D0431B">
        <w:rPr>
          <w:rFonts w:cs="Arial"/>
        </w:rPr>
        <w:t xml:space="preserve"> (see Figure 1)</w:t>
      </w:r>
      <w:r>
        <w:rPr>
          <w:rFonts w:cs="Arial"/>
        </w:rPr>
        <w:t>.</w:t>
      </w:r>
      <w:r w:rsidR="001F01C9">
        <w:rPr>
          <w:rFonts w:cs="Arial"/>
        </w:rPr>
        <w:t xml:space="preserve"> These are summarised below with full </w:t>
      </w:r>
      <w:r w:rsidR="001F01C9" w:rsidRPr="00040A4E">
        <w:rPr>
          <w:rFonts w:cs="Arial"/>
        </w:rPr>
        <w:t>detail</w:t>
      </w:r>
      <w:r w:rsidR="001F01C9">
        <w:rPr>
          <w:rFonts w:cs="Arial"/>
        </w:rPr>
        <w:t>s</w:t>
      </w:r>
      <w:r w:rsidR="001F01C9" w:rsidRPr="00040A4E">
        <w:rPr>
          <w:rFonts w:cs="Arial"/>
        </w:rPr>
        <w:t xml:space="preserve"> provided in the Application</w:t>
      </w:r>
      <w:r w:rsidR="001F01C9">
        <w:rPr>
          <w:rFonts w:cs="Arial"/>
        </w:rPr>
        <w:t>.</w:t>
      </w:r>
    </w:p>
    <w:p w14:paraId="51E7EBB3" w14:textId="12B439D3" w:rsidR="006F7FA2" w:rsidRDefault="006F7FA2" w:rsidP="00BE42B4">
      <w:pPr>
        <w:rPr>
          <w:rFonts w:cs="Arial"/>
        </w:rPr>
      </w:pPr>
    </w:p>
    <w:p w14:paraId="12221A46" w14:textId="77777777" w:rsidR="006F7FA2" w:rsidRDefault="006F7FA2" w:rsidP="006F7FA2">
      <w:pPr>
        <w:rPr>
          <w:rFonts w:cs="Arial"/>
        </w:rPr>
      </w:pPr>
      <w:r>
        <w:rPr>
          <w:rFonts w:cs="Arial"/>
        </w:rPr>
        <w:t>Part 1 - Fermentation</w:t>
      </w:r>
      <w:r>
        <w:rPr>
          <w:rFonts w:cs="Arial"/>
        </w:rPr>
        <w:tab/>
      </w:r>
      <w:r>
        <w:rPr>
          <w:rFonts w:cs="Arial"/>
        </w:rPr>
        <w:tab/>
        <w:t>Inoculation</w:t>
      </w:r>
    </w:p>
    <w:p w14:paraId="4156BC75" w14:textId="77777777" w:rsidR="006F7FA2" w:rsidRDefault="006F7FA2" w:rsidP="006F7FA2">
      <w:pPr>
        <w:rPr>
          <w:rFonts w:cs="Arial"/>
        </w:rPr>
      </w:pPr>
      <w:r>
        <w:rPr>
          <w:rFonts w:cs="Arial"/>
        </w:rPr>
        <w:tab/>
      </w:r>
      <w:r>
        <w:rPr>
          <w:rFonts w:cs="Arial"/>
        </w:rPr>
        <w:tab/>
      </w:r>
      <w:r>
        <w:rPr>
          <w:rFonts w:cs="Arial"/>
        </w:rPr>
        <w:tab/>
      </w:r>
      <w:r>
        <w:rPr>
          <w:rFonts w:cs="Arial"/>
        </w:rPr>
        <w:tab/>
      </w:r>
      <w:r>
        <w:rPr>
          <w:rFonts w:cs="Arial"/>
        </w:rPr>
        <w:tab/>
        <w:t>Seed fermentation</w:t>
      </w:r>
    </w:p>
    <w:p w14:paraId="3788A3DB" w14:textId="77777777" w:rsidR="006F7FA2" w:rsidRDefault="006F7FA2" w:rsidP="006F7FA2">
      <w:pPr>
        <w:rPr>
          <w:rFonts w:cs="Arial"/>
        </w:rPr>
      </w:pPr>
      <w:r>
        <w:rPr>
          <w:rFonts w:cs="Arial"/>
        </w:rPr>
        <w:tab/>
      </w:r>
      <w:r>
        <w:rPr>
          <w:rFonts w:cs="Arial"/>
        </w:rPr>
        <w:tab/>
      </w:r>
      <w:r>
        <w:rPr>
          <w:rFonts w:cs="Arial"/>
        </w:rPr>
        <w:tab/>
      </w:r>
      <w:r>
        <w:rPr>
          <w:rFonts w:cs="Arial"/>
        </w:rPr>
        <w:tab/>
      </w:r>
      <w:r>
        <w:rPr>
          <w:rFonts w:cs="Arial"/>
        </w:rPr>
        <w:tab/>
        <w:t>Main fermentation</w:t>
      </w:r>
    </w:p>
    <w:p w14:paraId="1002C9C0" w14:textId="77777777" w:rsidR="006F7FA2" w:rsidRDefault="006F7FA2" w:rsidP="006F7FA2">
      <w:pPr>
        <w:rPr>
          <w:rFonts w:cs="Arial"/>
        </w:rPr>
      </w:pPr>
      <w:r>
        <w:rPr>
          <w:rFonts w:cs="Arial"/>
          <w:noProof/>
          <w:lang w:eastAsia="en-GB" w:bidi="ar-SA"/>
        </w:rPr>
        <mc:AlternateContent>
          <mc:Choice Requires="wps">
            <w:drawing>
              <wp:anchor distT="0" distB="0" distL="114300" distR="114300" simplePos="0" relativeHeight="251658240" behindDoc="0" locked="0" layoutInCell="1" allowOverlap="1" wp14:anchorId="204B95A7" wp14:editId="0EB8FCB7">
                <wp:simplePos x="0" y="0"/>
                <wp:positionH relativeFrom="column">
                  <wp:posOffset>2147570</wp:posOffset>
                </wp:positionH>
                <wp:positionV relativeFrom="paragraph">
                  <wp:posOffset>15240</wp:posOffset>
                </wp:positionV>
                <wp:extent cx="45719" cy="114300"/>
                <wp:effectExtent l="19050" t="0" r="31115" b="38100"/>
                <wp:wrapNone/>
                <wp:docPr id="2" name="Down Arrow 2"/>
                <wp:cNvGraphicFramePr/>
                <a:graphic xmlns:a="http://schemas.openxmlformats.org/drawingml/2006/main">
                  <a:graphicData uri="http://schemas.microsoft.com/office/word/2010/wordprocessingShape">
                    <wps:wsp>
                      <wps:cNvSpPr/>
                      <wps:spPr>
                        <a:xfrm>
                          <a:off x="0" y="0"/>
                          <a:ext cx="45719"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C1F6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69.1pt;margin-top:1.2pt;width:3.6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" adj="17280" fillcolor="#4f81bd [3204]" strokecolor="#243f60 [1604]" strokeweight="2pt"/>
            </w:pict>
          </mc:Fallback>
        </mc:AlternateContent>
      </w:r>
    </w:p>
    <w:p w14:paraId="56027F46" w14:textId="77777777" w:rsidR="006F7FA2" w:rsidRDefault="006F7FA2" w:rsidP="006F7FA2">
      <w:pPr>
        <w:rPr>
          <w:rFonts w:cs="Arial"/>
        </w:rPr>
      </w:pPr>
      <w:r>
        <w:rPr>
          <w:rFonts w:cs="Arial"/>
        </w:rPr>
        <w:t>Part 2 – Recovery</w:t>
      </w:r>
      <w:r>
        <w:rPr>
          <w:rFonts w:cs="Arial"/>
        </w:rPr>
        <w:tab/>
      </w:r>
      <w:r>
        <w:rPr>
          <w:rFonts w:cs="Arial"/>
        </w:rPr>
        <w:tab/>
        <w:t>Pre-treatment</w:t>
      </w:r>
    </w:p>
    <w:p w14:paraId="38D986EF" w14:textId="77777777" w:rsidR="006F7FA2" w:rsidRDefault="006F7FA2" w:rsidP="006F7FA2">
      <w:pPr>
        <w:rPr>
          <w:rFonts w:cs="Arial"/>
        </w:rPr>
      </w:pPr>
      <w:r>
        <w:rPr>
          <w:rFonts w:cs="Arial"/>
        </w:rPr>
        <w:tab/>
      </w:r>
      <w:r>
        <w:rPr>
          <w:rFonts w:cs="Arial"/>
        </w:rPr>
        <w:tab/>
      </w:r>
      <w:r>
        <w:rPr>
          <w:rFonts w:cs="Arial"/>
        </w:rPr>
        <w:tab/>
      </w:r>
      <w:r>
        <w:rPr>
          <w:rFonts w:cs="Arial"/>
        </w:rPr>
        <w:tab/>
      </w:r>
      <w:r>
        <w:rPr>
          <w:rFonts w:cs="Arial"/>
        </w:rPr>
        <w:tab/>
        <w:t>Primary solid/liquid separation</w:t>
      </w:r>
    </w:p>
    <w:p w14:paraId="0C1A44E3" w14:textId="77777777" w:rsidR="006F7FA2" w:rsidRDefault="006F7FA2" w:rsidP="006F7FA2">
      <w:pPr>
        <w:rPr>
          <w:rFonts w:cs="Arial"/>
        </w:rPr>
      </w:pPr>
      <w:r>
        <w:rPr>
          <w:rFonts w:cs="Arial"/>
        </w:rPr>
        <w:tab/>
      </w:r>
      <w:r>
        <w:rPr>
          <w:rFonts w:cs="Arial"/>
        </w:rPr>
        <w:tab/>
      </w:r>
      <w:r>
        <w:rPr>
          <w:rFonts w:cs="Arial"/>
        </w:rPr>
        <w:tab/>
      </w:r>
      <w:r>
        <w:rPr>
          <w:rFonts w:cs="Arial"/>
        </w:rPr>
        <w:tab/>
      </w:r>
      <w:r>
        <w:rPr>
          <w:rFonts w:cs="Arial"/>
        </w:rPr>
        <w:tab/>
        <w:t>Concentration</w:t>
      </w:r>
    </w:p>
    <w:p w14:paraId="66D16592" w14:textId="77777777" w:rsidR="006F7FA2" w:rsidRDefault="006F7FA2" w:rsidP="006F7FA2">
      <w:pPr>
        <w:rPr>
          <w:rFonts w:cs="Arial"/>
        </w:rPr>
      </w:pPr>
      <w:r>
        <w:rPr>
          <w:rFonts w:cs="Arial"/>
        </w:rPr>
        <w:tab/>
      </w:r>
      <w:r>
        <w:rPr>
          <w:rFonts w:cs="Arial"/>
        </w:rPr>
        <w:tab/>
      </w:r>
      <w:r>
        <w:rPr>
          <w:rFonts w:cs="Arial"/>
        </w:rPr>
        <w:tab/>
      </w:r>
      <w:r>
        <w:rPr>
          <w:rFonts w:cs="Arial"/>
        </w:rPr>
        <w:tab/>
      </w:r>
      <w:r>
        <w:rPr>
          <w:rFonts w:cs="Arial"/>
        </w:rPr>
        <w:tab/>
        <w:t>Polish and germ filtration</w:t>
      </w:r>
    </w:p>
    <w:p w14:paraId="0A327938" w14:textId="77777777" w:rsidR="006F7FA2" w:rsidRDefault="006F7FA2" w:rsidP="006F7FA2">
      <w:pPr>
        <w:rPr>
          <w:rFonts w:cs="Arial"/>
        </w:rPr>
      </w:pPr>
      <w:r>
        <w:rPr>
          <w:rFonts w:cs="Arial"/>
          <w:noProof/>
          <w:lang w:eastAsia="en-GB" w:bidi="ar-SA"/>
        </w:rPr>
        <mc:AlternateContent>
          <mc:Choice Requires="wps">
            <w:drawing>
              <wp:anchor distT="0" distB="0" distL="114300" distR="114300" simplePos="0" relativeHeight="251658247" behindDoc="0" locked="0" layoutInCell="1" allowOverlap="1" wp14:anchorId="69C3B22C" wp14:editId="13973CF2">
                <wp:simplePos x="0" y="0"/>
                <wp:positionH relativeFrom="column">
                  <wp:posOffset>2197735</wp:posOffset>
                </wp:positionH>
                <wp:positionV relativeFrom="paragraph">
                  <wp:posOffset>10160</wp:posOffset>
                </wp:positionV>
                <wp:extent cx="45085" cy="114300"/>
                <wp:effectExtent l="19050" t="0" r="31115" b="38100"/>
                <wp:wrapNone/>
                <wp:docPr id="4" name="Down Arrow 4"/>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B54B0" id="Down Arrow 4" o:spid="_x0000_s1026" type="#_x0000_t67" style="position:absolute;margin-left:173.05pt;margin-top:.8pt;width:3.55pt;height: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" adj="17340" fillcolor="#4f81bd" strokecolor="#385d8a" strokeweight="2pt"/>
            </w:pict>
          </mc:Fallback>
        </mc:AlternateContent>
      </w:r>
    </w:p>
    <w:p w14:paraId="4D611164" w14:textId="77777777" w:rsidR="006F7FA2" w:rsidRDefault="006F7FA2" w:rsidP="006F7FA2">
      <w:pPr>
        <w:rPr>
          <w:rFonts w:cs="Arial"/>
        </w:rPr>
      </w:pPr>
      <w:r>
        <w:rPr>
          <w:rFonts w:cs="Arial"/>
        </w:rPr>
        <w:t>Part 3 - Final product</w:t>
      </w:r>
      <w:r>
        <w:rPr>
          <w:rFonts w:cs="Arial"/>
        </w:rPr>
        <w:tab/>
      </w:r>
      <w:r>
        <w:rPr>
          <w:rFonts w:cs="Arial"/>
        </w:rPr>
        <w:tab/>
        <w:t>Formulation of enzyme preparation</w:t>
      </w:r>
    </w:p>
    <w:p w14:paraId="1FE4FE13" w14:textId="77777777" w:rsidR="006F7FA2" w:rsidRDefault="006F7FA2" w:rsidP="006F7FA2">
      <w:pPr>
        <w:rPr>
          <w:rFonts w:cs="Arial"/>
        </w:rPr>
      </w:pPr>
      <w:r>
        <w:rPr>
          <w:rFonts w:cs="Arial"/>
        </w:rPr>
        <w:tab/>
      </w:r>
      <w:r>
        <w:rPr>
          <w:rFonts w:cs="Arial"/>
        </w:rPr>
        <w:tab/>
      </w:r>
      <w:r>
        <w:rPr>
          <w:rFonts w:cs="Arial"/>
        </w:rPr>
        <w:tab/>
      </w:r>
      <w:r>
        <w:rPr>
          <w:rFonts w:cs="Arial"/>
        </w:rPr>
        <w:tab/>
      </w:r>
      <w:r>
        <w:rPr>
          <w:rFonts w:cs="Arial"/>
        </w:rPr>
        <w:tab/>
        <w:t>Packaging</w:t>
      </w:r>
    </w:p>
    <w:p w14:paraId="2EF3E317" w14:textId="77777777" w:rsidR="006F7FA2" w:rsidRDefault="006F7FA2" w:rsidP="006F7FA2">
      <w:pPr>
        <w:pStyle w:val="FSFigureTitle"/>
        <w:rPr>
          <w:lang w:eastAsia="en-AU" w:bidi="ar-SA"/>
        </w:rPr>
      </w:pPr>
    </w:p>
    <w:p w14:paraId="5D5BA812" w14:textId="77777777" w:rsidR="006F7FA2" w:rsidRDefault="006F7FA2" w:rsidP="006F7FA2">
      <w:pPr>
        <w:pStyle w:val="FSFigureTitle"/>
        <w:rPr>
          <w:lang w:eastAsia="en-AU" w:bidi="ar-SA"/>
        </w:rPr>
      </w:pPr>
      <w:r w:rsidRPr="00E729B3">
        <w:rPr>
          <w:b/>
          <w:lang w:eastAsia="en-AU" w:bidi="ar-SA"/>
        </w:rPr>
        <w:t>Figure 1:</w:t>
      </w:r>
      <w:r>
        <w:rPr>
          <w:lang w:eastAsia="en-AU" w:bidi="ar-SA"/>
        </w:rPr>
        <w:t xml:space="preserve"> Manufacturing process for </w:t>
      </w:r>
      <w:r w:rsidRPr="00933595">
        <w:t>endo</w:t>
      </w:r>
      <w:r>
        <w:rPr>
          <w:lang w:eastAsia="en-AU" w:bidi="ar-SA"/>
        </w:rPr>
        <w:t>-1,4-β-xylanase</w:t>
      </w:r>
    </w:p>
    <w:p w14:paraId="271AFF7D" w14:textId="77777777" w:rsidR="006F7FA2" w:rsidRDefault="006F7FA2" w:rsidP="00BE42B4">
      <w:pPr>
        <w:rPr>
          <w:rFonts w:cs="Arial"/>
        </w:rPr>
      </w:pPr>
    </w:p>
    <w:p w14:paraId="3DAD20D4" w14:textId="238F44DA" w:rsidR="001A1A37" w:rsidRDefault="001A1A37" w:rsidP="001A1A37">
      <w:pPr>
        <w:pStyle w:val="Heading4"/>
      </w:pPr>
      <w:r>
        <w:t>2.7.1 Part 1 Fermentation</w:t>
      </w:r>
    </w:p>
    <w:p w14:paraId="7DA1A64A" w14:textId="34DC88E3" w:rsidR="009D3E98" w:rsidRPr="00040A4E" w:rsidRDefault="009D3E98" w:rsidP="009D3E98">
      <w:pPr>
        <w:rPr>
          <w:rFonts w:cs="Arial"/>
        </w:rPr>
      </w:pPr>
      <w:r w:rsidRPr="00040A4E">
        <w:rPr>
          <w:rFonts w:cs="Arial"/>
        </w:rPr>
        <w:t xml:space="preserve">The enzyme is produced by a </w:t>
      </w:r>
      <w:r>
        <w:rPr>
          <w:rFonts w:cs="Arial"/>
        </w:rPr>
        <w:t>controlled submerged fermentation</w:t>
      </w:r>
      <w:r w:rsidR="00BF47D2">
        <w:rPr>
          <w:rFonts w:cs="Arial"/>
        </w:rPr>
        <w:t xml:space="preserve"> of </w:t>
      </w:r>
      <w:r w:rsidR="00EA05E3">
        <w:rPr>
          <w:rFonts w:cs="Arial"/>
        </w:rPr>
        <w:t xml:space="preserve">a </w:t>
      </w:r>
      <w:r w:rsidR="00BF47D2">
        <w:rPr>
          <w:rFonts w:cs="Arial"/>
        </w:rPr>
        <w:t xml:space="preserve">genetically modified strain of </w:t>
      </w:r>
      <w:r w:rsidR="00BF47D2" w:rsidRPr="00BF47D2">
        <w:rPr>
          <w:rFonts w:cs="Arial"/>
          <w:i/>
        </w:rPr>
        <w:t>T.</w:t>
      </w:r>
      <w:r w:rsidR="005065F3">
        <w:rPr>
          <w:rFonts w:cs="Arial"/>
          <w:i/>
        </w:rPr>
        <w:t xml:space="preserve"> </w:t>
      </w:r>
      <w:r w:rsidR="00BF47D2" w:rsidRPr="00BF47D2">
        <w:rPr>
          <w:rFonts w:cs="Arial"/>
          <w:i/>
        </w:rPr>
        <w:t>reesei</w:t>
      </w:r>
      <w:r w:rsidR="00BF47D2">
        <w:rPr>
          <w:rFonts w:cs="Arial"/>
        </w:rPr>
        <w:t xml:space="preserve">. This process </w:t>
      </w:r>
      <w:r w:rsidRPr="00040A4E">
        <w:rPr>
          <w:rFonts w:cs="Arial"/>
        </w:rPr>
        <w:t>is common</w:t>
      </w:r>
      <w:r w:rsidR="00BF47D2">
        <w:rPr>
          <w:rFonts w:cs="Arial"/>
        </w:rPr>
        <w:t>ly used</w:t>
      </w:r>
      <w:r w:rsidRPr="00040A4E">
        <w:rPr>
          <w:rFonts w:cs="Arial"/>
        </w:rPr>
        <w:t xml:space="preserve"> for the production of </w:t>
      </w:r>
      <w:r w:rsidRPr="00865D5A">
        <w:rPr>
          <w:rFonts w:cs="Arial"/>
        </w:rPr>
        <w:t>food</w:t>
      </w:r>
      <w:r>
        <w:rPr>
          <w:rFonts w:cs="Arial"/>
        </w:rPr>
        <w:t>-grade</w:t>
      </w:r>
      <w:r w:rsidRPr="00865D5A">
        <w:rPr>
          <w:rFonts w:cs="Arial"/>
        </w:rPr>
        <w:t xml:space="preserve"> enzymes</w:t>
      </w:r>
      <w:r w:rsidRPr="00040A4E">
        <w:rPr>
          <w:rFonts w:cs="Arial"/>
        </w:rPr>
        <w:t>.</w:t>
      </w:r>
    </w:p>
    <w:p w14:paraId="3D754FCE" w14:textId="77777777" w:rsidR="009D3E98" w:rsidRPr="00040A4E" w:rsidRDefault="009D3E98" w:rsidP="009D3E98">
      <w:pPr>
        <w:rPr>
          <w:rFonts w:cs="Arial"/>
        </w:rPr>
      </w:pPr>
    </w:p>
    <w:p w14:paraId="5F30D555" w14:textId="1C1F16C1" w:rsidR="009D3E98" w:rsidRDefault="009D3E98" w:rsidP="009D3E98">
      <w:pPr>
        <w:rPr>
          <w:rFonts w:cs="Arial"/>
        </w:rPr>
      </w:pPr>
      <w:r w:rsidRPr="00040A4E">
        <w:rPr>
          <w:rFonts w:cs="Arial"/>
        </w:rPr>
        <w:t xml:space="preserve">The fermentation process involves </w:t>
      </w:r>
      <w:r>
        <w:rPr>
          <w:rFonts w:cs="Arial"/>
        </w:rPr>
        <w:t>three</w:t>
      </w:r>
      <w:r w:rsidRPr="00040A4E">
        <w:rPr>
          <w:rFonts w:cs="Arial"/>
        </w:rPr>
        <w:t xml:space="preserve"> steps, the initial inoculum ferments to produce enough of the microorganism </w:t>
      </w:r>
      <w:r>
        <w:rPr>
          <w:rFonts w:cs="Arial"/>
        </w:rPr>
        <w:t>to begin</w:t>
      </w:r>
      <w:r w:rsidRPr="00040A4E">
        <w:rPr>
          <w:rFonts w:cs="Arial"/>
        </w:rPr>
        <w:t xml:space="preserve"> </w:t>
      </w:r>
      <w:r w:rsidR="00724D00">
        <w:rPr>
          <w:rFonts w:cs="Arial"/>
        </w:rPr>
        <w:t xml:space="preserve">the seed </w:t>
      </w:r>
      <w:r w:rsidRPr="00040A4E">
        <w:rPr>
          <w:rFonts w:cs="Arial"/>
        </w:rPr>
        <w:t xml:space="preserve">fermentation </w:t>
      </w:r>
      <w:r w:rsidR="00724D00">
        <w:rPr>
          <w:rFonts w:cs="Arial"/>
        </w:rPr>
        <w:t>followed by</w:t>
      </w:r>
      <w:r w:rsidRPr="00040A4E">
        <w:rPr>
          <w:rFonts w:cs="Arial"/>
        </w:rPr>
        <w:t xml:space="preserve"> the main fermentation. </w:t>
      </w:r>
    </w:p>
    <w:p w14:paraId="0D02AD0D" w14:textId="4AFA8F91" w:rsidR="00724D00" w:rsidRDefault="00724D00" w:rsidP="00724D00">
      <w:pPr>
        <w:pStyle w:val="Heading4"/>
      </w:pPr>
      <w:r>
        <w:t>2.7.2 Part 2 Recovery</w:t>
      </w:r>
    </w:p>
    <w:p w14:paraId="4C532785" w14:textId="1A809A29" w:rsidR="00AB2719" w:rsidRDefault="00AB2719" w:rsidP="009D3E98">
      <w:pPr>
        <w:rPr>
          <w:rFonts w:cs="Arial"/>
        </w:rPr>
      </w:pPr>
      <w:r>
        <w:rPr>
          <w:rFonts w:cs="Arial"/>
        </w:rPr>
        <w:t xml:space="preserve">The main purpose of recovery is to separate the fermentation broth into biomass and fermentation medium containing the desired enzyme protein. The desired enzyme protein is also </w:t>
      </w:r>
      <w:r w:rsidR="00EA05E3">
        <w:rPr>
          <w:rFonts w:cs="Arial"/>
        </w:rPr>
        <w:t>concentrated and</w:t>
      </w:r>
      <w:r w:rsidR="00695983">
        <w:rPr>
          <w:rFonts w:cs="Arial"/>
        </w:rPr>
        <w:t xml:space="preserve"> the ratio of enzyme activity to total o</w:t>
      </w:r>
      <w:r>
        <w:rPr>
          <w:rFonts w:cs="Arial"/>
        </w:rPr>
        <w:t xml:space="preserve">rganic </w:t>
      </w:r>
      <w:r w:rsidR="002F52E0">
        <w:rPr>
          <w:rFonts w:cs="Arial"/>
        </w:rPr>
        <w:t xml:space="preserve">solids </w:t>
      </w:r>
      <w:r>
        <w:rPr>
          <w:rFonts w:cs="Arial"/>
        </w:rPr>
        <w:t xml:space="preserve">(TOS) is improved. </w:t>
      </w:r>
    </w:p>
    <w:p w14:paraId="15F25A55" w14:textId="77777777" w:rsidR="00D0431B" w:rsidRDefault="00D0431B" w:rsidP="009D3E98">
      <w:pPr>
        <w:rPr>
          <w:rFonts w:cs="Arial"/>
        </w:rPr>
      </w:pPr>
    </w:p>
    <w:p w14:paraId="583ADE82" w14:textId="6E9C9099" w:rsidR="009D3E98" w:rsidRDefault="00AB2719" w:rsidP="009D3E98">
      <w:pPr>
        <w:rPr>
          <w:rFonts w:cs="Arial"/>
        </w:rPr>
      </w:pPr>
      <w:r>
        <w:rPr>
          <w:rFonts w:cs="Arial"/>
        </w:rPr>
        <w:t xml:space="preserve">Recovery consists of </w:t>
      </w:r>
      <w:r w:rsidR="009D3E98" w:rsidRPr="00040A4E">
        <w:rPr>
          <w:rFonts w:cs="Arial"/>
        </w:rPr>
        <w:t xml:space="preserve">removal of the production strain and other solids, ultrafiltration </w:t>
      </w:r>
      <w:r w:rsidR="009D3E98">
        <w:rPr>
          <w:rFonts w:cs="Arial"/>
        </w:rPr>
        <w:t xml:space="preserve">and/or evaporation </w:t>
      </w:r>
      <w:r w:rsidR="009D3E98" w:rsidRPr="00040A4E">
        <w:rPr>
          <w:rFonts w:cs="Arial"/>
        </w:rPr>
        <w:t>to concentrate</w:t>
      </w:r>
      <w:r>
        <w:rPr>
          <w:rFonts w:cs="Arial"/>
        </w:rPr>
        <w:t xml:space="preserve"> the enzyme</w:t>
      </w:r>
      <w:r w:rsidR="009D3E98" w:rsidRPr="00040A4E">
        <w:rPr>
          <w:rFonts w:cs="Arial"/>
        </w:rPr>
        <w:t xml:space="preserve">, </w:t>
      </w:r>
      <w:r w:rsidR="009D3E98">
        <w:rPr>
          <w:rFonts w:cs="Arial"/>
        </w:rPr>
        <w:t>stabilisation and then a final filtration</w:t>
      </w:r>
      <w:r w:rsidR="009D3E98" w:rsidRPr="00040A4E">
        <w:rPr>
          <w:rFonts w:cs="Arial"/>
        </w:rPr>
        <w:t>.</w:t>
      </w:r>
      <w:r w:rsidR="009D3E98" w:rsidRPr="00EB7A41">
        <w:rPr>
          <w:rFonts w:cs="Arial"/>
        </w:rPr>
        <w:t xml:space="preserve"> </w:t>
      </w:r>
    </w:p>
    <w:p w14:paraId="7B113DF7" w14:textId="77777777" w:rsidR="006A558D" w:rsidRDefault="006A558D">
      <w:pPr>
        <w:widowControl/>
        <w:rPr>
          <w:b/>
          <w:bCs/>
          <w:i/>
          <w:iCs/>
          <w:szCs w:val="22"/>
          <w:lang w:eastAsia="en-AU" w:bidi="ar-SA"/>
        </w:rPr>
      </w:pPr>
      <w:r>
        <w:rPr>
          <w:lang w:eastAsia="en-AU"/>
        </w:rPr>
        <w:br w:type="page"/>
      </w:r>
    </w:p>
    <w:p w14:paraId="793AA1ED" w14:textId="438C5E7A" w:rsidR="00AB2719" w:rsidRDefault="00AB2719" w:rsidP="00AB2719">
      <w:pPr>
        <w:pStyle w:val="Heading4"/>
        <w:rPr>
          <w:lang w:eastAsia="en-AU"/>
        </w:rPr>
      </w:pPr>
      <w:r>
        <w:rPr>
          <w:lang w:eastAsia="en-AU"/>
        </w:rPr>
        <w:t>2.7.3 Part 3 Final product</w:t>
      </w:r>
    </w:p>
    <w:p w14:paraId="65770C26" w14:textId="4BF4B661" w:rsidR="009D3E98" w:rsidRDefault="00907D6F" w:rsidP="009D3E98">
      <w:pPr>
        <w:rPr>
          <w:lang w:eastAsia="en-AU" w:bidi="ar-SA"/>
        </w:rPr>
      </w:pPr>
      <w:r>
        <w:rPr>
          <w:lang w:eastAsia="en-AU" w:bidi="ar-SA"/>
        </w:rPr>
        <w:t>F</w:t>
      </w:r>
      <w:r w:rsidR="003D3B47">
        <w:rPr>
          <w:lang w:eastAsia="en-AU" w:bidi="ar-SA"/>
        </w:rPr>
        <w:t xml:space="preserve">ood ingredients and food additives </w:t>
      </w:r>
      <w:r>
        <w:rPr>
          <w:lang w:eastAsia="en-AU" w:bidi="ar-SA"/>
        </w:rPr>
        <w:t xml:space="preserve">are used to formulate </w:t>
      </w:r>
      <w:r w:rsidR="003D3B47">
        <w:rPr>
          <w:lang w:eastAsia="en-AU" w:bidi="ar-SA"/>
        </w:rPr>
        <w:t xml:space="preserve">the enzyme preparation. The </w:t>
      </w:r>
      <w:r w:rsidR="003D3B47">
        <w:rPr>
          <w:rFonts w:cs="Arial"/>
        </w:rPr>
        <w:t>endo-1,4-</w:t>
      </w:r>
      <w:r w:rsidR="003D3B47" w:rsidRPr="002E2590">
        <w:rPr>
          <w:rFonts w:cs="Arial"/>
        </w:rPr>
        <w:t>β</w:t>
      </w:r>
      <w:r w:rsidR="003D3B47">
        <w:rPr>
          <w:rFonts w:cs="Arial"/>
        </w:rPr>
        <w:t xml:space="preserve">-xylanase comes in the form of a solid and liquid </w:t>
      </w:r>
      <w:r w:rsidR="00440C20">
        <w:rPr>
          <w:rFonts w:cs="Arial"/>
        </w:rPr>
        <w:t xml:space="preserve">enzyme </w:t>
      </w:r>
      <w:r w:rsidR="003D3B47">
        <w:rPr>
          <w:rFonts w:cs="Arial"/>
        </w:rPr>
        <w:t xml:space="preserve">preparation (See Table 3). </w:t>
      </w:r>
      <w:r w:rsidR="009D3E98">
        <w:rPr>
          <w:lang w:eastAsia="en-AU" w:bidi="ar-SA"/>
        </w:rPr>
        <w:t>All the raw materials used in the production of the enzyme preparation are permitted food additives and processing aids in the Code (as detailed in the Application) and are appropriate for their technological purpose.</w:t>
      </w:r>
    </w:p>
    <w:p w14:paraId="46C1CA08" w14:textId="77777777" w:rsidR="00D0431B" w:rsidRDefault="00D0431B" w:rsidP="009D3E98">
      <w:pPr>
        <w:rPr>
          <w:lang w:eastAsia="en-AU" w:bidi="ar-SA"/>
        </w:rPr>
      </w:pPr>
    </w:p>
    <w:p w14:paraId="43DCEECE" w14:textId="11B7CB1A" w:rsidR="003D3B47" w:rsidRDefault="003D3B47" w:rsidP="009D3E98">
      <w:pPr>
        <w:rPr>
          <w:lang w:eastAsia="en-AU" w:bidi="ar-SA"/>
        </w:rPr>
      </w:pPr>
      <w:r>
        <w:rPr>
          <w:lang w:eastAsia="en-AU" w:bidi="ar-SA"/>
        </w:rPr>
        <w:t xml:space="preserve">The enzyme preparation is packed into suitable food packaging before storage and distribution. </w:t>
      </w:r>
    </w:p>
    <w:p w14:paraId="47FBFEBF" w14:textId="0392E9A7" w:rsidR="0075550B" w:rsidRDefault="0075550B" w:rsidP="00D67005">
      <w:pPr>
        <w:pStyle w:val="FSCh3Standard"/>
      </w:pPr>
      <w:bookmarkStart w:id="25" w:name="_Toc471740077"/>
      <w:bookmarkStart w:id="26" w:name="_Toc471740078"/>
      <w:bookmarkStart w:id="27" w:name="_Toc471740079"/>
      <w:bookmarkStart w:id="28" w:name="_Toc499282435"/>
      <w:bookmarkStart w:id="29" w:name="_Toc505255636"/>
      <w:bookmarkEnd w:id="25"/>
      <w:bookmarkEnd w:id="26"/>
      <w:r>
        <w:t>2.</w:t>
      </w:r>
      <w:r w:rsidR="00BF6E0D">
        <w:t>8</w:t>
      </w:r>
      <w:r w:rsidR="00D67005">
        <w:t xml:space="preserve"> </w:t>
      </w:r>
      <w:r>
        <w:t>Food technology conclusion</w:t>
      </w:r>
      <w:bookmarkEnd w:id="27"/>
      <w:bookmarkEnd w:id="28"/>
      <w:bookmarkEnd w:id="29"/>
    </w:p>
    <w:p w14:paraId="44C0A9C8" w14:textId="00436856" w:rsidR="004F7CE3" w:rsidRPr="00F43FB8" w:rsidRDefault="004F7CE3" w:rsidP="004F7CE3">
      <w:pPr>
        <w:rPr>
          <w:lang w:bidi="ar-SA"/>
        </w:rPr>
      </w:pPr>
      <w:r>
        <w:rPr>
          <w:lang w:bidi="ar-SA"/>
        </w:rPr>
        <w:t xml:space="preserve">This enzyme </w:t>
      </w:r>
      <w:r w:rsidR="00B462D8">
        <w:rPr>
          <w:lang w:bidi="ar-SA"/>
        </w:rPr>
        <w:t>provides</w:t>
      </w:r>
      <w:r>
        <w:rPr>
          <w:lang w:bidi="ar-SA"/>
        </w:rPr>
        <w:t xml:space="preserve"> consistency and production efficiency in </w:t>
      </w:r>
      <w:r w:rsidR="00B462D8">
        <w:rPr>
          <w:lang w:bidi="ar-SA"/>
        </w:rPr>
        <w:t xml:space="preserve">manufacturing and/or </w:t>
      </w:r>
      <w:r>
        <w:rPr>
          <w:lang w:bidi="ar-SA"/>
        </w:rPr>
        <w:t>processing of plant based foods via hydrolysis of arabinoxylans to smaller more soluble oligosaccharides. FSANZ conclude</w:t>
      </w:r>
      <w:r w:rsidR="00D05BE4">
        <w:rPr>
          <w:lang w:bidi="ar-SA"/>
        </w:rPr>
        <w:t>d</w:t>
      </w:r>
      <w:r>
        <w:rPr>
          <w:lang w:bidi="ar-SA"/>
        </w:rPr>
        <w:t xml:space="preserve"> the use of </w:t>
      </w:r>
      <w:r w:rsidR="00E20AC1">
        <w:rPr>
          <w:rFonts w:cs="Arial"/>
        </w:rPr>
        <w:t>e</w:t>
      </w:r>
      <w:r>
        <w:rPr>
          <w:rFonts w:cs="Arial"/>
        </w:rPr>
        <w:t>ndo-1,4-β-xylanase</w:t>
      </w:r>
      <w:r>
        <w:rPr>
          <w:lang w:bidi="ar-SA"/>
        </w:rPr>
        <w:t xml:space="preserve"> </w:t>
      </w:r>
      <w:r w:rsidR="00B14E7A">
        <w:rPr>
          <w:lang w:bidi="ar-SA"/>
        </w:rPr>
        <w:t xml:space="preserve">is technologically-justified </w:t>
      </w:r>
      <w:r>
        <w:rPr>
          <w:lang w:bidi="ar-SA"/>
        </w:rPr>
        <w:t xml:space="preserve">in the </w:t>
      </w:r>
      <w:r w:rsidR="00B462D8">
        <w:rPr>
          <w:lang w:bidi="ar-SA"/>
        </w:rPr>
        <w:t>form and quantity</w:t>
      </w:r>
      <w:r>
        <w:rPr>
          <w:lang w:bidi="ar-SA"/>
        </w:rPr>
        <w:t xml:space="preserve"> proposed </w:t>
      </w:r>
      <w:r w:rsidR="00D05BE4">
        <w:rPr>
          <w:lang w:bidi="ar-SA"/>
        </w:rPr>
        <w:t xml:space="preserve">for use as a processing aid in the </w:t>
      </w:r>
      <w:r w:rsidR="006F7FA2">
        <w:t>manufacture and processing of bakery products, cereal products, grain, beer and cereal based beverages and alcohol.</w:t>
      </w:r>
    </w:p>
    <w:p w14:paraId="7F191D9B" w14:textId="1FE49F17" w:rsidR="00B308D2" w:rsidRPr="00B308D2" w:rsidRDefault="00B308D2" w:rsidP="00B308D2">
      <w:pPr>
        <w:rPr>
          <w:lang w:eastAsia="en-AU" w:bidi="ar-SA"/>
        </w:rPr>
      </w:pPr>
    </w:p>
    <w:p w14:paraId="6C1FE697" w14:textId="77777777" w:rsidR="006A558D" w:rsidRDefault="006C2969" w:rsidP="006A558D">
      <w:pPr>
        <w:pStyle w:val="FSCh2Part"/>
      </w:pPr>
      <w:bookmarkStart w:id="30" w:name="_Toc471740080"/>
      <w:bookmarkStart w:id="31" w:name="_Toc499282436"/>
      <w:bookmarkStart w:id="32" w:name="_Toc505255637"/>
      <w:bookmarkEnd w:id="30"/>
      <w:bookmarkEnd w:id="31"/>
      <w:r>
        <w:t>3 Safety assessment</w:t>
      </w:r>
      <w:bookmarkStart w:id="33" w:name="_Toc471740081"/>
      <w:bookmarkStart w:id="34" w:name="_Toc499282437"/>
      <w:bookmarkEnd w:id="32"/>
    </w:p>
    <w:p w14:paraId="5A91A0DF" w14:textId="4154C53F" w:rsidR="00FE377D" w:rsidRDefault="00FE377D" w:rsidP="00D67005">
      <w:pPr>
        <w:pStyle w:val="FSCh3Standard"/>
      </w:pPr>
      <w:bookmarkStart w:id="35" w:name="_Toc505255638"/>
      <w:r>
        <w:t>3.1 Objectives for safety assessment</w:t>
      </w:r>
      <w:bookmarkEnd w:id="35"/>
      <w:r>
        <w:t xml:space="preserve"> </w:t>
      </w:r>
    </w:p>
    <w:p w14:paraId="3D7CFDB8" w14:textId="5510BC39" w:rsidR="00FE377D" w:rsidRPr="00F87D40" w:rsidRDefault="00FE377D" w:rsidP="00FE377D">
      <w:r w:rsidRPr="00F87D40">
        <w:rPr>
          <w:lang w:eastAsia="en-AU" w:bidi="ar-SA"/>
        </w:rPr>
        <w:t xml:space="preserve">The objectives of this </w:t>
      </w:r>
      <w:r>
        <w:rPr>
          <w:lang w:eastAsia="en-AU" w:bidi="ar-SA"/>
        </w:rPr>
        <w:t>safety</w:t>
      </w:r>
      <w:r w:rsidRPr="00F87D40">
        <w:rPr>
          <w:lang w:eastAsia="en-AU" w:bidi="ar-SA"/>
        </w:rPr>
        <w:t xml:space="preserve"> assessment </w:t>
      </w:r>
      <w:r w:rsidR="0002763B">
        <w:rPr>
          <w:lang w:eastAsia="en-AU" w:bidi="ar-SA"/>
        </w:rPr>
        <w:t xml:space="preserve">for </w:t>
      </w:r>
      <w:r w:rsidR="0002763B">
        <w:rPr>
          <w:rFonts w:cs="Arial"/>
        </w:rPr>
        <w:t>endo-1,4-</w:t>
      </w:r>
      <w:r w:rsidR="0002763B" w:rsidRPr="002E2590">
        <w:rPr>
          <w:rFonts w:cs="Arial"/>
        </w:rPr>
        <w:t>β</w:t>
      </w:r>
      <w:r w:rsidR="0002763B">
        <w:rPr>
          <w:rFonts w:cs="Arial"/>
        </w:rPr>
        <w:t xml:space="preserve">-xylanase </w:t>
      </w:r>
      <w:r>
        <w:rPr>
          <w:lang w:eastAsia="en-AU" w:bidi="ar-SA"/>
        </w:rPr>
        <w:t>are</w:t>
      </w:r>
      <w:r w:rsidRPr="00F87D40">
        <w:rPr>
          <w:lang w:eastAsia="en-AU" w:bidi="ar-SA"/>
        </w:rPr>
        <w:t xml:space="preserve"> to</w:t>
      </w:r>
      <w:r>
        <w:rPr>
          <w:lang w:eastAsia="en-AU" w:bidi="ar-SA"/>
        </w:rPr>
        <w:t xml:space="preserve"> </w:t>
      </w:r>
      <w:r w:rsidRPr="00807348">
        <w:t>evaluate any potential public health and safety concerns that may arise from the use of this enzyme</w:t>
      </w:r>
      <w:r w:rsidR="005303D9">
        <w:t xml:space="preserve"> </w:t>
      </w:r>
      <w:r w:rsidR="007768AD">
        <w:rPr>
          <w:lang w:eastAsia="en-AU"/>
        </w:rPr>
        <w:t xml:space="preserve">protein, produced by a genetically modified organism, </w:t>
      </w:r>
      <w:r w:rsidRPr="00F87D40">
        <w:t>as a processing aid.</w:t>
      </w:r>
      <w:r w:rsidR="0002763B">
        <w:t xml:space="preserve"> Specifically by considering the</w:t>
      </w:r>
      <w:r w:rsidR="00880984">
        <w:t>:</w:t>
      </w:r>
    </w:p>
    <w:p w14:paraId="62C960EA" w14:textId="77777777" w:rsidR="0002763B" w:rsidRPr="00F853CC" w:rsidRDefault="0002763B" w:rsidP="0002763B"/>
    <w:p w14:paraId="6297DF73" w14:textId="522C3F27" w:rsidR="0002763B" w:rsidRDefault="0002763B" w:rsidP="0002763B">
      <w:pPr>
        <w:pStyle w:val="FSBullet1"/>
      </w:pPr>
      <w:r w:rsidRPr="00F853CC">
        <w:t>history of us</w:t>
      </w:r>
      <w:r>
        <w:t xml:space="preserve">e of the </w:t>
      </w:r>
      <w:r w:rsidR="007768AD">
        <w:t xml:space="preserve">host </w:t>
      </w:r>
      <w:r>
        <w:t xml:space="preserve">and </w:t>
      </w:r>
      <w:r w:rsidR="00102EC0">
        <w:t xml:space="preserve">gene </w:t>
      </w:r>
      <w:r>
        <w:t>donor organisms</w:t>
      </w:r>
      <w:r w:rsidR="00BF6E0D">
        <w:t>,</w:t>
      </w:r>
    </w:p>
    <w:p w14:paraId="776434F0" w14:textId="4500CDDF" w:rsidR="0002763B" w:rsidRPr="00460133" w:rsidRDefault="0002763B" w:rsidP="0002763B">
      <w:pPr>
        <w:pStyle w:val="FSBullet1"/>
      </w:pPr>
      <w:r>
        <w:t>characterisation of the genetic modification(s)</w:t>
      </w:r>
      <w:r w:rsidR="00BF6E0D">
        <w:t>, and</w:t>
      </w:r>
    </w:p>
    <w:p w14:paraId="5A4FC62F" w14:textId="6BBF84C0" w:rsidR="0002763B" w:rsidRDefault="0002763B" w:rsidP="0002763B">
      <w:pPr>
        <w:pStyle w:val="FSBullet1"/>
      </w:pPr>
      <w:r>
        <w:t xml:space="preserve">safety of the enzyme </w:t>
      </w:r>
      <w:r w:rsidR="00196443">
        <w:t>protein</w:t>
      </w:r>
      <w:r w:rsidR="00BF6E0D">
        <w:t>.</w:t>
      </w:r>
    </w:p>
    <w:p w14:paraId="73474A82" w14:textId="4E21F725" w:rsidR="0075550B" w:rsidRPr="006C2969" w:rsidRDefault="0075550B" w:rsidP="00D67005">
      <w:pPr>
        <w:pStyle w:val="FSCh3Standard"/>
      </w:pPr>
      <w:bookmarkStart w:id="36" w:name="_Toc471740085"/>
      <w:bookmarkStart w:id="37" w:name="_Toc499282440"/>
      <w:bookmarkStart w:id="38" w:name="_Toc505255639"/>
      <w:bookmarkEnd w:id="33"/>
      <w:bookmarkEnd w:id="34"/>
      <w:r w:rsidRPr="006C2969">
        <w:t>3.2</w:t>
      </w:r>
      <w:bookmarkEnd w:id="36"/>
      <w:r w:rsidR="006C2969">
        <w:t xml:space="preserve"> </w:t>
      </w:r>
      <w:r w:rsidR="005B0E49" w:rsidRPr="006C2969">
        <w:t>History of use</w:t>
      </w:r>
      <w:bookmarkEnd w:id="37"/>
      <w:bookmarkEnd w:id="38"/>
      <w:r w:rsidR="002D4741" w:rsidRPr="006C2969">
        <w:t xml:space="preserve"> </w:t>
      </w:r>
    </w:p>
    <w:p w14:paraId="6D5DFCBC" w14:textId="76367941" w:rsidR="00945E8E" w:rsidRPr="00D67005" w:rsidRDefault="00945E8E" w:rsidP="00D67005">
      <w:pPr>
        <w:pStyle w:val="Heading4"/>
      </w:pPr>
      <w:bookmarkStart w:id="39" w:name="_Toc498940968"/>
      <w:bookmarkStart w:id="40" w:name="_Toc499282441"/>
      <w:r>
        <w:t xml:space="preserve">3.2.1 </w:t>
      </w:r>
      <w:r w:rsidR="00B814AC">
        <w:tab/>
      </w:r>
      <w:r w:rsidR="005B0E49">
        <w:t>Host organism</w:t>
      </w:r>
      <w:bookmarkEnd w:id="39"/>
      <w:bookmarkEnd w:id="40"/>
      <w:r>
        <w:t xml:space="preserve"> </w:t>
      </w:r>
    </w:p>
    <w:p w14:paraId="5949AFB7" w14:textId="4589A856" w:rsidR="00FF15E8" w:rsidRDefault="00A91A9D" w:rsidP="009C4B43">
      <w:pPr>
        <w:spacing w:line="20" w:lineRule="atLeast"/>
        <w:rPr>
          <w:rFonts w:cs="Arial"/>
          <w:color w:val="000000" w:themeColor="text1"/>
        </w:rPr>
      </w:pPr>
      <w:r w:rsidRPr="008D41F2">
        <w:rPr>
          <w:i/>
        </w:rPr>
        <w:t>T</w:t>
      </w:r>
      <w:r>
        <w:rPr>
          <w:i/>
        </w:rPr>
        <w:t>.</w:t>
      </w:r>
      <w:r w:rsidRPr="0075550B">
        <w:rPr>
          <w:rFonts w:cs="Arial"/>
          <w:i/>
          <w:color w:val="000000" w:themeColor="text1"/>
        </w:rPr>
        <w:t xml:space="preserve"> </w:t>
      </w:r>
      <w:r w:rsidR="00FF15E8" w:rsidRPr="0075550B">
        <w:rPr>
          <w:rFonts w:cs="Arial"/>
          <w:i/>
          <w:color w:val="000000" w:themeColor="text1"/>
        </w:rPr>
        <w:t>reesei</w:t>
      </w:r>
      <w:r w:rsidR="00834D65">
        <w:rPr>
          <w:rFonts w:cs="Arial"/>
          <w:color w:val="000000" w:themeColor="text1"/>
        </w:rPr>
        <w:t xml:space="preserve"> is a hypercellulolytic fungus </w:t>
      </w:r>
      <w:r w:rsidR="009C4B43">
        <w:rPr>
          <w:rFonts w:cs="Arial"/>
          <w:color w:val="000000" w:themeColor="text1"/>
        </w:rPr>
        <w:t xml:space="preserve">commonly found in soil. The </w:t>
      </w:r>
      <w:r w:rsidR="00834D65">
        <w:rPr>
          <w:rFonts w:cs="Arial"/>
          <w:color w:val="000000" w:themeColor="text1"/>
        </w:rPr>
        <w:t>initial isolate</w:t>
      </w:r>
      <w:r w:rsidR="009C4B43">
        <w:rPr>
          <w:rFonts w:cs="Arial"/>
          <w:color w:val="000000" w:themeColor="text1"/>
        </w:rPr>
        <w:t xml:space="preserve"> came</w:t>
      </w:r>
      <w:r w:rsidR="00834D65">
        <w:rPr>
          <w:rFonts w:cs="Arial"/>
          <w:color w:val="000000" w:themeColor="text1"/>
        </w:rPr>
        <w:t xml:space="preserve"> from deteriorating clothing and tent material found in the Solomon Islands after World War II</w:t>
      </w:r>
      <w:r w:rsidR="009C4B43">
        <w:rPr>
          <w:rFonts w:cs="Arial"/>
          <w:color w:val="000000" w:themeColor="text1"/>
        </w:rPr>
        <w:t>.</w:t>
      </w:r>
      <w:r w:rsidR="00834D65">
        <w:rPr>
          <w:rFonts w:cs="Arial"/>
          <w:color w:val="000000" w:themeColor="text1"/>
        </w:rPr>
        <w:t xml:space="preserve"> </w:t>
      </w:r>
      <w:r w:rsidR="009C4B43">
        <w:rPr>
          <w:rFonts w:cs="Arial"/>
          <w:color w:val="000000" w:themeColor="text1"/>
        </w:rPr>
        <w:t>The initial</w:t>
      </w:r>
      <w:r w:rsidR="00834D65">
        <w:rPr>
          <w:rFonts w:cs="Arial"/>
          <w:color w:val="000000" w:themeColor="text1"/>
        </w:rPr>
        <w:t xml:space="preserve"> isolate </w:t>
      </w:r>
      <w:r w:rsidR="009C4B43">
        <w:rPr>
          <w:rFonts w:cs="Arial"/>
          <w:color w:val="000000" w:themeColor="text1"/>
        </w:rPr>
        <w:t xml:space="preserve">QM6a has been registered with the </w:t>
      </w:r>
      <w:r w:rsidR="009C4B43" w:rsidRPr="009C4B43">
        <w:rPr>
          <w:rFonts w:cs="Arial"/>
          <w:color w:val="000000" w:themeColor="text1"/>
        </w:rPr>
        <w:t>American Type Culture</w:t>
      </w:r>
      <w:r w:rsidR="009C4B43">
        <w:rPr>
          <w:rFonts w:cs="Arial"/>
          <w:color w:val="000000" w:themeColor="text1"/>
        </w:rPr>
        <w:t xml:space="preserve"> </w:t>
      </w:r>
      <w:r w:rsidR="009C4B43" w:rsidRPr="009C4B43">
        <w:rPr>
          <w:rFonts w:cs="Arial"/>
          <w:color w:val="000000" w:themeColor="text1"/>
        </w:rPr>
        <w:t>Collection</w:t>
      </w:r>
      <w:r w:rsidR="009C4B43">
        <w:rPr>
          <w:rFonts w:cs="Arial"/>
          <w:color w:val="000000" w:themeColor="text1"/>
        </w:rPr>
        <w:t xml:space="preserve"> </w:t>
      </w:r>
      <w:r w:rsidR="002C3BF4">
        <w:rPr>
          <w:rFonts w:cs="Arial"/>
          <w:color w:val="000000" w:themeColor="text1"/>
        </w:rPr>
        <w:t>(</w:t>
      </w:r>
      <w:r w:rsidR="009C4B43">
        <w:rPr>
          <w:rFonts w:cs="Arial"/>
          <w:color w:val="000000" w:themeColor="text1"/>
        </w:rPr>
        <w:t>ATCC 13631</w:t>
      </w:r>
      <w:r w:rsidR="002C3BF4">
        <w:rPr>
          <w:rFonts w:cs="Arial"/>
          <w:color w:val="000000" w:themeColor="text1"/>
        </w:rPr>
        <w:t xml:space="preserve">) and has been classed as a Biosafety Level 1 organism, based on the </w:t>
      </w:r>
      <w:hyperlink r:id="rId14" w:history="1">
        <w:r w:rsidR="002C3BF4" w:rsidRPr="001065CC">
          <w:rPr>
            <w:rStyle w:val="Hyperlink"/>
            <w:rFonts w:cs="Arial"/>
          </w:rPr>
          <w:t>United States Public Health Service Guidelines</w:t>
        </w:r>
      </w:hyperlink>
      <w:r w:rsidR="002C3BF4">
        <w:rPr>
          <w:rStyle w:val="FootnoteReference"/>
          <w:rFonts w:cs="Arial"/>
          <w:color w:val="000000" w:themeColor="text1"/>
        </w:rPr>
        <w:footnoteReference w:id="2"/>
      </w:r>
      <w:r w:rsidR="002C3BF4">
        <w:rPr>
          <w:rFonts w:cs="Arial"/>
          <w:color w:val="000000" w:themeColor="text1"/>
        </w:rPr>
        <w:t>, and is not considered pathogenic to humans.</w:t>
      </w:r>
    </w:p>
    <w:p w14:paraId="0ABCB52A" w14:textId="77777777" w:rsidR="009C4B43" w:rsidRDefault="009C4B43" w:rsidP="009C4B43">
      <w:pPr>
        <w:spacing w:line="20" w:lineRule="atLeast"/>
        <w:rPr>
          <w:rFonts w:cs="Arial"/>
          <w:color w:val="000000" w:themeColor="text1"/>
        </w:rPr>
      </w:pPr>
    </w:p>
    <w:p w14:paraId="233F28D7" w14:textId="67EC1BFF" w:rsidR="009C4B43" w:rsidRDefault="009C4B43" w:rsidP="009C4B43">
      <w:pPr>
        <w:spacing w:line="20" w:lineRule="atLeast"/>
        <w:rPr>
          <w:rFonts w:cs="Arial"/>
          <w:i/>
          <w:color w:val="000000" w:themeColor="text1"/>
        </w:rPr>
      </w:pPr>
      <w:r>
        <w:rPr>
          <w:rFonts w:cs="Arial"/>
          <w:color w:val="000000" w:themeColor="text1"/>
        </w:rPr>
        <w:t xml:space="preserve">Due to the secretion of a range </w:t>
      </w:r>
      <w:r w:rsidR="00077CEB">
        <w:rPr>
          <w:rFonts w:cs="Arial"/>
          <w:color w:val="000000" w:themeColor="text1"/>
        </w:rPr>
        <w:t xml:space="preserve">of </w:t>
      </w:r>
      <w:r>
        <w:rPr>
          <w:rFonts w:cs="Arial"/>
          <w:color w:val="000000" w:themeColor="text1"/>
        </w:rPr>
        <w:t xml:space="preserve">cellulolytic enzymes, this </w:t>
      </w:r>
      <w:r w:rsidR="00E9463F">
        <w:rPr>
          <w:rFonts w:cs="Arial"/>
          <w:color w:val="000000" w:themeColor="text1"/>
        </w:rPr>
        <w:t>fungus</w:t>
      </w:r>
      <w:r>
        <w:rPr>
          <w:rFonts w:cs="Arial"/>
          <w:color w:val="000000" w:themeColor="text1"/>
        </w:rPr>
        <w:t xml:space="preserve"> has been used </w:t>
      </w:r>
      <w:r w:rsidR="00077CEB">
        <w:rPr>
          <w:rFonts w:cs="Arial"/>
          <w:color w:val="000000" w:themeColor="text1"/>
        </w:rPr>
        <w:t xml:space="preserve">since the 1980s </w:t>
      </w:r>
      <w:r>
        <w:rPr>
          <w:rFonts w:cs="Arial"/>
          <w:color w:val="000000" w:themeColor="text1"/>
        </w:rPr>
        <w:t xml:space="preserve">for the industrial production of cellulase, hemicellulase, beta-glucanase, pectinase and xylanase for </w:t>
      </w:r>
      <w:r w:rsidR="00E9463F">
        <w:rPr>
          <w:rFonts w:cs="Arial"/>
          <w:color w:val="000000" w:themeColor="text1"/>
        </w:rPr>
        <w:t xml:space="preserve">a range of industries including </w:t>
      </w:r>
      <w:r>
        <w:rPr>
          <w:rFonts w:cs="Arial"/>
          <w:color w:val="000000" w:themeColor="text1"/>
        </w:rPr>
        <w:t>food</w:t>
      </w:r>
      <w:r w:rsidR="00BA7FF5">
        <w:rPr>
          <w:rFonts w:cs="Arial"/>
          <w:color w:val="000000" w:themeColor="text1"/>
        </w:rPr>
        <w:t xml:space="preserve"> (Nevalainen and Peterson, 2014</w:t>
      </w:r>
      <w:r w:rsidR="00135301">
        <w:rPr>
          <w:rFonts w:cs="Arial"/>
          <w:color w:val="000000" w:themeColor="text1"/>
        </w:rPr>
        <w:t>; Pa</w:t>
      </w:r>
      <w:r w:rsidR="00611C95">
        <w:rPr>
          <w:rFonts w:cs="Arial"/>
          <w:color w:val="000000" w:themeColor="text1"/>
        </w:rPr>
        <w:t>lo</w:t>
      </w:r>
      <w:r w:rsidR="00135301">
        <w:rPr>
          <w:rFonts w:cs="Arial"/>
          <w:color w:val="000000" w:themeColor="text1"/>
        </w:rPr>
        <w:t>heimo et al, 2016</w:t>
      </w:r>
      <w:r w:rsidR="00A623D9">
        <w:rPr>
          <w:rFonts w:cs="Arial"/>
          <w:color w:val="000000" w:themeColor="text1"/>
        </w:rPr>
        <w:t>; FSANZ 2016</w:t>
      </w:r>
      <w:r w:rsidR="00BA7FF5">
        <w:rPr>
          <w:rFonts w:cs="Arial"/>
          <w:color w:val="000000" w:themeColor="text1"/>
        </w:rPr>
        <w:t>)</w:t>
      </w:r>
      <w:r>
        <w:rPr>
          <w:rFonts w:cs="Arial"/>
          <w:color w:val="000000" w:themeColor="text1"/>
        </w:rPr>
        <w:t xml:space="preserve">. </w:t>
      </w:r>
      <w:r w:rsidR="00E9463F">
        <w:rPr>
          <w:rFonts w:cs="Arial"/>
          <w:color w:val="000000" w:themeColor="text1"/>
        </w:rPr>
        <w:t>T</w:t>
      </w:r>
      <w:r w:rsidR="00077CEB">
        <w:rPr>
          <w:rFonts w:cs="Arial"/>
          <w:color w:val="000000" w:themeColor="text1"/>
        </w:rPr>
        <w:t xml:space="preserve">here is </w:t>
      </w:r>
      <w:r w:rsidR="00E9463F">
        <w:rPr>
          <w:rFonts w:cs="Arial"/>
          <w:color w:val="000000" w:themeColor="text1"/>
        </w:rPr>
        <w:t xml:space="preserve">therefore </w:t>
      </w:r>
      <w:r w:rsidR="00077CEB">
        <w:rPr>
          <w:rFonts w:cs="Arial"/>
          <w:color w:val="000000" w:themeColor="text1"/>
        </w:rPr>
        <w:t xml:space="preserve">a long history of safe use of </w:t>
      </w:r>
      <w:r w:rsidR="00077CEB" w:rsidRPr="00077CEB">
        <w:rPr>
          <w:rFonts w:cs="Arial"/>
          <w:i/>
          <w:color w:val="000000" w:themeColor="text1"/>
        </w:rPr>
        <w:t>T. reesei</w:t>
      </w:r>
      <w:r w:rsidR="00077CEB">
        <w:rPr>
          <w:rFonts w:cs="Arial"/>
          <w:color w:val="000000" w:themeColor="text1"/>
        </w:rPr>
        <w:t xml:space="preserve"> for the production of food grade enzymes.</w:t>
      </w:r>
    </w:p>
    <w:p w14:paraId="04D89437" w14:textId="77777777" w:rsidR="00FF15E8" w:rsidRDefault="00FF15E8" w:rsidP="0075550B">
      <w:pPr>
        <w:spacing w:line="20" w:lineRule="atLeast"/>
        <w:rPr>
          <w:rFonts w:cs="Arial"/>
          <w:i/>
          <w:color w:val="000000" w:themeColor="text1"/>
        </w:rPr>
      </w:pPr>
    </w:p>
    <w:p w14:paraId="06F5F8C4" w14:textId="149E1601" w:rsidR="00953013" w:rsidRDefault="00953013" w:rsidP="0075550B">
      <w:pPr>
        <w:spacing w:line="20" w:lineRule="atLeast"/>
        <w:rPr>
          <w:rFonts w:cs="Arial"/>
          <w:color w:val="000000" w:themeColor="text1"/>
        </w:rPr>
      </w:pPr>
    </w:p>
    <w:p w14:paraId="4407857E" w14:textId="4C39949E" w:rsidR="00953013" w:rsidRDefault="00953013" w:rsidP="00D67005">
      <w:pPr>
        <w:pStyle w:val="Heading4"/>
      </w:pPr>
      <w:bookmarkStart w:id="41" w:name="_Toc498940969"/>
      <w:bookmarkStart w:id="42" w:name="_Toc499282442"/>
      <w:r>
        <w:t>3.2.2</w:t>
      </w:r>
      <w:r>
        <w:tab/>
      </w:r>
      <w:r w:rsidR="008B0C1D">
        <w:t>Gene d</w:t>
      </w:r>
      <w:r>
        <w:t>onor organism</w:t>
      </w:r>
      <w:r w:rsidR="003062EE">
        <w:t>(s)</w:t>
      </w:r>
      <w:bookmarkEnd w:id="41"/>
      <w:bookmarkEnd w:id="42"/>
      <w:r w:rsidR="00AE2DFD">
        <w:t xml:space="preserve"> </w:t>
      </w:r>
    </w:p>
    <w:p w14:paraId="29FC8F91" w14:textId="63FD59C4" w:rsidR="003062EE" w:rsidRDefault="00363932" w:rsidP="0075550B">
      <w:pPr>
        <w:spacing w:line="20" w:lineRule="atLeast"/>
        <w:rPr>
          <w:i/>
          <w:lang w:eastAsia="en-AU" w:bidi="ar-SA"/>
        </w:rPr>
      </w:pPr>
      <w:r w:rsidRPr="00FC0FEC">
        <w:rPr>
          <w:i/>
          <w:lang w:eastAsia="en-AU" w:bidi="ar-SA"/>
        </w:rPr>
        <w:t>T</w:t>
      </w:r>
      <w:r>
        <w:rPr>
          <w:i/>
          <w:lang w:eastAsia="en-AU" w:bidi="ar-SA"/>
        </w:rPr>
        <w:t xml:space="preserve">. </w:t>
      </w:r>
      <w:r w:rsidR="003062EE">
        <w:rPr>
          <w:i/>
          <w:lang w:eastAsia="en-AU" w:bidi="ar-SA"/>
        </w:rPr>
        <w:t>flexuosa</w:t>
      </w:r>
    </w:p>
    <w:p w14:paraId="67068C6F" w14:textId="77777777" w:rsidR="003062EE" w:rsidRDefault="003062EE" w:rsidP="0075550B">
      <w:pPr>
        <w:spacing w:line="20" w:lineRule="atLeast"/>
        <w:rPr>
          <w:rFonts w:cs="Arial"/>
          <w:color w:val="000000" w:themeColor="text1"/>
        </w:rPr>
      </w:pPr>
    </w:p>
    <w:p w14:paraId="03D08800" w14:textId="2B33D932" w:rsidR="003062EE" w:rsidRPr="003062EE" w:rsidRDefault="002A5480" w:rsidP="0075550B">
      <w:pPr>
        <w:spacing w:line="20" w:lineRule="atLeast"/>
        <w:rPr>
          <w:rFonts w:cs="Arial"/>
          <w:color w:val="000000" w:themeColor="text1"/>
        </w:rPr>
      </w:pPr>
      <w:r>
        <w:rPr>
          <w:rFonts w:cs="Arial"/>
          <w:color w:val="000000" w:themeColor="text1"/>
        </w:rPr>
        <w:t xml:space="preserve">The gene sequence for the xylanase enzyme was originally isolated from </w:t>
      </w:r>
      <w:r w:rsidR="002C3BF4" w:rsidRPr="00FC0FEC">
        <w:rPr>
          <w:i/>
          <w:lang w:eastAsia="en-AU" w:bidi="ar-SA"/>
        </w:rPr>
        <w:t>T</w:t>
      </w:r>
      <w:r w:rsidR="00A91A9D">
        <w:rPr>
          <w:i/>
          <w:lang w:eastAsia="en-AU" w:bidi="ar-SA"/>
        </w:rPr>
        <w:t xml:space="preserve">. </w:t>
      </w:r>
      <w:r w:rsidR="002C3BF4">
        <w:rPr>
          <w:i/>
          <w:lang w:eastAsia="en-AU" w:bidi="ar-SA"/>
        </w:rPr>
        <w:t>flexuosa</w:t>
      </w:r>
      <w:r w:rsidR="002C3BF4" w:rsidRPr="002C3BF4">
        <w:rPr>
          <w:lang w:eastAsia="en-AU" w:bidi="ar-SA"/>
        </w:rPr>
        <w:t xml:space="preserve"> DSM43186</w:t>
      </w:r>
      <w:r w:rsidR="00DC55C1">
        <w:rPr>
          <w:lang w:eastAsia="en-AU" w:bidi="ar-SA"/>
        </w:rPr>
        <w:t xml:space="preserve"> (FDA, 2016)</w:t>
      </w:r>
      <w:r w:rsidR="002C3BF4">
        <w:rPr>
          <w:lang w:eastAsia="en-AU" w:bidi="ar-SA"/>
        </w:rPr>
        <w:t>.</w:t>
      </w:r>
      <w:r w:rsidRPr="002C3BF4">
        <w:rPr>
          <w:rFonts w:cs="Arial"/>
          <w:color w:val="000000" w:themeColor="text1"/>
        </w:rPr>
        <w:t xml:space="preserve"> </w:t>
      </w:r>
      <w:r w:rsidR="00FC0FEC">
        <w:rPr>
          <w:rFonts w:cs="Arial"/>
          <w:color w:val="000000" w:themeColor="text1"/>
        </w:rPr>
        <w:t xml:space="preserve">This bacterium </w:t>
      </w:r>
      <w:r>
        <w:rPr>
          <w:rFonts w:cs="Arial"/>
          <w:color w:val="000000" w:themeColor="text1"/>
        </w:rPr>
        <w:t xml:space="preserve">is a gram positive actinomycete commonly found in soil. </w:t>
      </w:r>
      <w:r w:rsidR="008156E7">
        <w:rPr>
          <w:rFonts w:cs="Arial"/>
          <w:color w:val="000000" w:themeColor="text1"/>
        </w:rPr>
        <w:t xml:space="preserve">As the gene sequence has been </w:t>
      </w:r>
      <w:r w:rsidR="00477E43">
        <w:rPr>
          <w:rFonts w:cs="Arial"/>
          <w:color w:val="000000" w:themeColor="text1"/>
        </w:rPr>
        <w:t>manipulated through standard DNA cloning methods</w:t>
      </w:r>
      <w:r w:rsidR="008156E7">
        <w:rPr>
          <w:rFonts w:cs="Arial"/>
          <w:color w:val="000000" w:themeColor="text1"/>
        </w:rPr>
        <w:t xml:space="preserve"> the original isolation from the donor organism, extraneous </w:t>
      </w:r>
      <w:r w:rsidR="00326EFF">
        <w:rPr>
          <w:rFonts w:cs="Arial"/>
          <w:color w:val="000000" w:themeColor="text1"/>
        </w:rPr>
        <w:t xml:space="preserve">genetic </w:t>
      </w:r>
      <w:r w:rsidR="008156E7">
        <w:rPr>
          <w:rFonts w:cs="Arial"/>
          <w:color w:val="000000" w:themeColor="text1"/>
        </w:rPr>
        <w:t xml:space="preserve">material from </w:t>
      </w:r>
      <w:r w:rsidR="008156E7" w:rsidRPr="008156E7">
        <w:rPr>
          <w:rFonts w:cs="Arial"/>
          <w:i/>
          <w:color w:val="000000" w:themeColor="text1"/>
        </w:rPr>
        <w:t>T. flexuosa</w:t>
      </w:r>
      <w:r w:rsidR="008156E7">
        <w:rPr>
          <w:rFonts w:cs="Arial"/>
          <w:color w:val="000000" w:themeColor="text1"/>
        </w:rPr>
        <w:t xml:space="preserve"> would not be carried across to the enzyme production organism.</w:t>
      </w:r>
    </w:p>
    <w:p w14:paraId="33682B94" w14:textId="77777777" w:rsidR="003062EE" w:rsidRPr="003062EE" w:rsidRDefault="003062EE" w:rsidP="0075550B">
      <w:pPr>
        <w:spacing w:line="20" w:lineRule="atLeast"/>
        <w:rPr>
          <w:rFonts w:cs="Arial"/>
          <w:color w:val="000000" w:themeColor="text1"/>
        </w:rPr>
      </w:pPr>
    </w:p>
    <w:p w14:paraId="5A5BCAFC" w14:textId="15871838" w:rsidR="003062EE" w:rsidRDefault="003062EE" w:rsidP="0075550B">
      <w:pPr>
        <w:spacing w:line="20" w:lineRule="atLeast"/>
        <w:rPr>
          <w:rFonts w:cs="Arial"/>
          <w:color w:val="000000" w:themeColor="text1"/>
        </w:rPr>
      </w:pPr>
      <w:r w:rsidRPr="004F42CE">
        <w:rPr>
          <w:rFonts w:cs="Arial"/>
          <w:i/>
          <w:color w:val="000000" w:themeColor="text1"/>
        </w:rPr>
        <w:t>Aspergillus nidulans</w:t>
      </w:r>
    </w:p>
    <w:p w14:paraId="3067BC0F" w14:textId="77777777" w:rsidR="00953013" w:rsidRDefault="00953013" w:rsidP="0075550B">
      <w:pPr>
        <w:spacing w:line="20" w:lineRule="atLeast"/>
        <w:rPr>
          <w:rFonts w:cs="Arial"/>
          <w:color w:val="000000" w:themeColor="text1"/>
        </w:rPr>
      </w:pPr>
    </w:p>
    <w:p w14:paraId="71FE24EA" w14:textId="7F2024D5" w:rsidR="003062EE" w:rsidRDefault="008156E7" w:rsidP="0075550B">
      <w:pPr>
        <w:spacing w:line="20" w:lineRule="atLeast"/>
        <w:rPr>
          <w:rFonts w:cs="Arial"/>
          <w:color w:val="000000" w:themeColor="text1"/>
        </w:rPr>
      </w:pPr>
      <w:r>
        <w:rPr>
          <w:rFonts w:cs="Arial"/>
          <w:color w:val="000000" w:themeColor="text1"/>
        </w:rPr>
        <w:t xml:space="preserve">The gene sequence for acetamidase, used as the selection marker for positive transformants, was initially isolated from </w:t>
      </w:r>
      <w:r w:rsidRPr="008156E7">
        <w:rPr>
          <w:rFonts w:cs="Arial"/>
          <w:i/>
          <w:color w:val="000000" w:themeColor="text1"/>
        </w:rPr>
        <w:t>Aspergillus nidulans</w:t>
      </w:r>
      <w:r>
        <w:rPr>
          <w:rFonts w:cs="Arial"/>
          <w:color w:val="000000" w:themeColor="text1"/>
        </w:rPr>
        <w:t xml:space="preserve"> (Kelly and Hynes, 1985</w:t>
      </w:r>
      <w:r w:rsidR="001253B9">
        <w:rPr>
          <w:rFonts w:cs="Arial"/>
          <w:color w:val="000000" w:themeColor="text1"/>
        </w:rPr>
        <w:t>; Pentilla et al, 1987</w:t>
      </w:r>
      <w:r>
        <w:rPr>
          <w:rFonts w:cs="Arial"/>
          <w:color w:val="000000" w:themeColor="text1"/>
        </w:rPr>
        <w:t xml:space="preserve">). The majority of </w:t>
      </w:r>
      <w:r w:rsidRPr="008156E7">
        <w:rPr>
          <w:rFonts w:cs="Arial"/>
          <w:i/>
          <w:color w:val="000000" w:themeColor="text1"/>
        </w:rPr>
        <w:t>A. nidulans</w:t>
      </w:r>
      <w:r>
        <w:rPr>
          <w:rFonts w:cs="Arial"/>
          <w:color w:val="000000" w:themeColor="text1"/>
        </w:rPr>
        <w:t xml:space="preserve"> strains have been classed </w:t>
      </w:r>
      <w:r w:rsidR="006269BC">
        <w:rPr>
          <w:rFonts w:cs="Arial"/>
          <w:color w:val="000000" w:themeColor="text1"/>
        </w:rPr>
        <w:t>at the</w:t>
      </w:r>
      <w:r>
        <w:rPr>
          <w:rFonts w:cs="Arial"/>
          <w:color w:val="000000" w:themeColor="text1"/>
        </w:rPr>
        <w:t xml:space="preserve"> Biosafety Level 1, based on the </w:t>
      </w:r>
      <w:r w:rsidRPr="00FC0FEC">
        <w:rPr>
          <w:rFonts w:cs="Arial"/>
          <w:color w:val="000000" w:themeColor="text1"/>
        </w:rPr>
        <w:t>U</w:t>
      </w:r>
      <w:r>
        <w:rPr>
          <w:rFonts w:cs="Arial"/>
          <w:color w:val="000000" w:themeColor="text1"/>
        </w:rPr>
        <w:t xml:space="preserve">nited </w:t>
      </w:r>
      <w:r w:rsidRPr="00FC0FEC">
        <w:rPr>
          <w:rFonts w:cs="Arial"/>
          <w:color w:val="000000" w:themeColor="text1"/>
        </w:rPr>
        <w:t>S</w:t>
      </w:r>
      <w:r>
        <w:rPr>
          <w:rFonts w:cs="Arial"/>
          <w:color w:val="000000" w:themeColor="text1"/>
        </w:rPr>
        <w:t>tates</w:t>
      </w:r>
      <w:r w:rsidRPr="00FC0FEC">
        <w:rPr>
          <w:rFonts w:cs="Arial"/>
          <w:color w:val="000000" w:themeColor="text1"/>
        </w:rPr>
        <w:t xml:space="preserve"> Public Health Service Guidelines</w:t>
      </w:r>
      <w:r w:rsidRPr="002C3BF4">
        <w:rPr>
          <w:rFonts w:cs="Arial"/>
          <w:color w:val="000000" w:themeColor="text1"/>
          <w:vertAlign w:val="superscript"/>
        </w:rPr>
        <w:t>2</w:t>
      </w:r>
      <w:r>
        <w:rPr>
          <w:rFonts w:cs="Arial"/>
          <w:color w:val="000000" w:themeColor="text1"/>
        </w:rPr>
        <w:t xml:space="preserve">, however some strains have been associated with opportunistic infections in immunocompromised individuals (Gabrielli et al, 2014; </w:t>
      </w:r>
      <w:r w:rsidR="00BE4675">
        <w:rPr>
          <w:rFonts w:cs="Arial"/>
          <w:color w:val="000000" w:themeColor="text1"/>
        </w:rPr>
        <w:t xml:space="preserve">Sadarangani et al, 2015). As the gene sequence has been manipulated </w:t>
      </w:r>
      <w:r w:rsidR="006269BC">
        <w:rPr>
          <w:rFonts w:cs="Arial"/>
          <w:color w:val="000000" w:themeColor="text1"/>
        </w:rPr>
        <w:t xml:space="preserve">through standard DNA cloning methods </w:t>
      </w:r>
      <w:r w:rsidR="00BE4675">
        <w:rPr>
          <w:rFonts w:cs="Arial"/>
          <w:color w:val="000000" w:themeColor="text1"/>
        </w:rPr>
        <w:t>s</w:t>
      </w:r>
      <w:r w:rsidR="00626605">
        <w:rPr>
          <w:rFonts w:cs="Arial"/>
          <w:color w:val="000000" w:themeColor="text1"/>
        </w:rPr>
        <w:t>ubsequent to</w:t>
      </w:r>
      <w:r w:rsidR="00BE4675">
        <w:rPr>
          <w:rFonts w:cs="Arial"/>
          <w:color w:val="000000" w:themeColor="text1"/>
        </w:rPr>
        <w:t xml:space="preserve"> the original isolation from the donor organism, extraneous material from </w:t>
      </w:r>
      <w:r w:rsidR="00BE4675" w:rsidRPr="008156E7">
        <w:rPr>
          <w:rFonts w:cs="Arial"/>
          <w:i/>
          <w:color w:val="000000" w:themeColor="text1"/>
        </w:rPr>
        <w:t>A. nidulans</w:t>
      </w:r>
      <w:r w:rsidR="00BE4675">
        <w:rPr>
          <w:rFonts w:cs="Arial"/>
          <w:color w:val="000000" w:themeColor="text1"/>
        </w:rPr>
        <w:t xml:space="preserve"> would not be carried across to the enzyme production organism.</w:t>
      </w:r>
    </w:p>
    <w:p w14:paraId="5C09E6C9" w14:textId="10729A7C" w:rsidR="00953013" w:rsidRPr="00D67005" w:rsidRDefault="00953013" w:rsidP="00D67005">
      <w:pPr>
        <w:pStyle w:val="FSCh3Standard"/>
      </w:pPr>
      <w:bookmarkStart w:id="43" w:name="_Toc499282443"/>
      <w:bookmarkStart w:id="44" w:name="_Toc505255640"/>
      <w:r>
        <w:t>3.3 Characterisation</w:t>
      </w:r>
      <w:r w:rsidR="00460133">
        <w:t xml:space="preserve"> of the genetic modification(s)</w:t>
      </w:r>
      <w:bookmarkEnd w:id="43"/>
      <w:bookmarkEnd w:id="44"/>
    </w:p>
    <w:p w14:paraId="6E7B4F46" w14:textId="10C38BCF" w:rsidR="003062EE" w:rsidRDefault="001B7852" w:rsidP="003062EE">
      <w:pPr>
        <w:autoSpaceDE w:val="0"/>
        <w:autoSpaceDN w:val="0"/>
        <w:adjustRightInd w:val="0"/>
        <w:rPr>
          <w:rFonts w:cs="Arial"/>
          <w:color w:val="000000" w:themeColor="text1"/>
        </w:rPr>
      </w:pPr>
      <w:r w:rsidRPr="001B7852">
        <w:rPr>
          <w:rFonts w:cs="Arial"/>
          <w:color w:val="000000" w:themeColor="text1"/>
        </w:rPr>
        <w:t xml:space="preserve">A </w:t>
      </w:r>
      <w:r w:rsidR="00E6778E" w:rsidRPr="0075550B">
        <w:rPr>
          <w:rFonts w:cs="Arial"/>
          <w:i/>
          <w:color w:val="000000" w:themeColor="text1"/>
        </w:rPr>
        <w:t>T</w:t>
      </w:r>
      <w:r w:rsidR="00E6778E">
        <w:rPr>
          <w:rFonts w:cs="Arial"/>
          <w:i/>
          <w:color w:val="000000" w:themeColor="text1"/>
        </w:rPr>
        <w:t>.</w:t>
      </w:r>
      <w:r w:rsidR="00E6778E" w:rsidRPr="0075550B">
        <w:rPr>
          <w:rFonts w:cs="Arial"/>
          <w:i/>
          <w:color w:val="000000" w:themeColor="text1"/>
        </w:rPr>
        <w:t xml:space="preserve"> reesei</w:t>
      </w:r>
      <w:r w:rsidR="00E6778E" w:rsidRPr="00A1396C">
        <w:rPr>
          <w:rFonts w:cs="Arial"/>
          <w:color w:val="000000" w:themeColor="text1"/>
        </w:rPr>
        <w:t xml:space="preserve"> </w:t>
      </w:r>
      <w:r w:rsidR="002B53B5">
        <w:rPr>
          <w:rFonts w:cs="Arial"/>
          <w:color w:val="000000" w:themeColor="text1"/>
        </w:rPr>
        <w:t xml:space="preserve">strain </w:t>
      </w:r>
      <w:r w:rsidR="00FF15E8">
        <w:rPr>
          <w:rFonts w:cs="Arial"/>
          <w:color w:val="000000" w:themeColor="text1"/>
        </w:rPr>
        <w:t xml:space="preserve">was </w:t>
      </w:r>
      <w:r w:rsidR="00E6778E">
        <w:rPr>
          <w:rFonts w:cs="Arial"/>
          <w:color w:val="000000" w:themeColor="text1"/>
        </w:rPr>
        <w:t>transform</w:t>
      </w:r>
      <w:r w:rsidR="00FF15E8">
        <w:rPr>
          <w:rFonts w:cs="Arial"/>
          <w:color w:val="000000" w:themeColor="text1"/>
        </w:rPr>
        <w:t>ed</w:t>
      </w:r>
      <w:r w:rsidR="00812798">
        <w:rPr>
          <w:rFonts w:cs="Arial"/>
          <w:color w:val="000000" w:themeColor="text1"/>
        </w:rPr>
        <w:t xml:space="preserve"> using standard molecular biology methods.</w:t>
      </w:r>
      <w:r w:rsidR="00E6778E">
        <w:rPr>
          <w:rFonts w:cs="Arial"/>
          <w:color w:val="000000" w:themeColor="text1"/>
        </w:rPr>
        <w:t xml:space="preserve"> </w:t>
      </w:r>
      <w:r w:rsidR="00563C0E">
        <w:rPr>
          <w:rFonts w:cs="Arial"/>
          <w:color w:val="000000" w:themeColor="text1"/>
        </w:rPr>
        <w:t xml:space="preserve">The </w:t>
      </w:r>
      <w:r w:rsidR="0037462F">
        <w:rPr>
          <w:rFonts w:cs="Arial"/>
          <w:color w:val="000000" w:themeColor="text1"/>
        </w:rPr>
        <w:t>transferred DNA included</w:t>
      </w:r>
      <w:r w:rsidR="00E6778E" w:rsidRPr="00224753">
        <w:rPr>
          <w:rFonts w:cs="Arial"/>
          <w:color w:val="000000" w:themeColor="text1"/>
        </w:rPr>
        <w:t xml:space="preserve"> </w:t>
      </w:r>
      <w:r w:rsidR="0037462F">
        <w:rPr>
          <w:rFonts w:cs="Arial"/>
          <w:color w:val="000000" w:themeColor="text1"/>
        </w:rPr>
        <w:t>the endo-1,4-β-xylanase gene,</w:t>
      </w:r>
      <w:r w:rsidR="0037462F" w:rsidRPr="00224753" w:rsidDel="0037462F">
        <w:rPr>
          <w:rFonts w:cs="Arial"/>
          <w:color w:val="000000" w:themeColor="text1"/>
        </w:rPr>
        <w:t xml:space="preserve"> </w:t>
      </w:r>
      <w:r w:rsidR="00563C0E">
        <w:rPr>
          <w:rFonts w:cs="Arial"/>
          <w:color w:val="000000" w:themeColor="text1"/>
        </w:rPr>
        <w:t xml:space="preserve">a signal and carrier peptide sequence </w:t>
      </w:r>
      <w:r w:rsidR="0037462F">
        <w:rPr>
          <w:rFonts w:cs="Arial"/>
          <w:color w:val="000000" w:themeColor="text1"/>
        </w:rPr>
        <w:t>and the</w:t>
      </w:r>
      <w:r w:rsidR="0037462F" w:rsidRPr="0037462F">
        <w:rPr>
          <w:rFonts w:cs="Arial"/>
          <w:color w:val="000000" w:themeColor="text1"/>
        </w:rPr>
        <w:t xml:space="preserve"> </w:t>
      </w:r>
      <w:r w:rsidR="0037462F">
        <w:rPr>
          <w:rFonts w:cs="Arial"/>
          <w:color w:val="000000" w:themeColor="text1"/>
        </w:rPr>
        <w:t>acetamidase gene (</w:t>
      </w:r>
      <w:r w:rsidR="0037462F" w:rsidRPr="004F42CE">
        <w:rPr>
          <w:rFonts w:cs="Arial"/>
          <w:i/>
          <w:color w:val="000000" w:themeColor="text1"/>
        </w:rPr>
        <w:t>amdS</w:t>
      </w:r>
      <w:r w:rsidR="0037462F">
        <w:rPr>
          <w:rFonts w:cs="Arial"/>
          <w:i/>
          <w:color w:val="000000" w:themeColor="text1"/>
        </w:rPr>
        <w:t>)</w:t>
      </w:r>
      <w:r w:rsidR="0037462F">
        <w:rPr>
          <w:rFonts w:cs="Arial"/>
          <w:color w:val="000000" w:themeColor="text1"/>
        </w:rPr>
        <w:t xml:space="preserve"> </w:t>
      </w:r>
      <w:r w:rsidR="0037462F" w:rsidRPr="004F42CE">
        <w:rPr>
          <w:rFonts w:cs="Arial"/>
          <w:color w:val="000000" w:themeColor="text1"/>
        </w:rPr>
        <w:t>from</w:t>
      </w:r>
      <w:r w:rsidR="0037462F" w:rsidRPr="004F42CE">
        <w:rPr>
          <w:rFonts w:cs="Arial"/>
          <w:i/>
          <w:color w:val="000000" w:themeColor="text1"/>
        </w:rPr>
        <w:t xml:space="preserve"> A</w:t>
      </w:r>
      <w:r w:rsidR="0037462F">
        <w:rPr>
          <w:rFonts w:cs="Arial"/>
          <w:i/>
          <w:color w:val="000000" w:themeColor="text1"/>
        </w:rPr>
        <w:t>. </w:t>
      </w:r>
      <w:r w:rsidR="0037462F" w:rsidRPr="004F42CE">
        <w:rPr>
          <w:rFonts w:cs="Arial"/>
          <w:i/>
          <w:color w:val="000000" w:themeColor="text1"/>
        </w:rPr>
        <w:t>nidulans</w:t>
      </w:r>
      <w:r w:rsidR="0037462F">
        <w:rPr>
          <w:rFonts w:cs="Arial"/>
          <w:i/>
          <w:color w:val="000000" w:themeColor="text1"/>
        </w:rPr>
        <w:t>.</w:t>
      </w:r>
      <w:r w:rsidR="0037462F" w:rsidDel="0037462F">
        <w:rPr>
          <w:rFonts w:cs="Arial"/>
          <w:color w:val="000000" w:themeColor="text1"/>
        </w:rPr>
        <w:t xml:space="preserve"> </w:t>
      </w:r>
      <w:r w:rsidR="0037462F">
        <w:rPr>
          <w:rFonts w:cs="Arial"/>
          <w:color w:val="000000" w:themeColor="text1"/>
        </w:rPr>
        <w:t>The latter gene allows for selection of transformants on acetamide-containing media and is not an antibiotic resistance gene.</w:t>
      </w:r>
    </w:p>
    <w:p w14:paraId="3A4D479F" w14:textId="77777777" w:rsidR="00935042" w:rsidRDefault="00935042" w:rsidP="00E6778E">
      <w:pPr>
        <w:autoSpaceDE w:val="0"/>
        <w:autoSpaceDN w:val="0"/>
        <w:adjustRightInd w:val="0"/>
        <w:rPr>
          <w:rFonts w:cs="Arial"/>
          <w:color w:val="000000" w:themeColor="text1"/>
        </w:rPr>
      </w:pPr>
    </w:p>
    <w:p w14:paraId="48F4733F" w14:textId="1C71D09E" w:rsidR="0002152C" w:rsidRDefault="00E465C0" w:rsidP="0002152C">
      <w:pPr>
        <w:rPr>
          <w:rFonts w:cs="Arial"/>
          <w:color w:val="000000" w:themeColor="text1"/>
        </w:rPr>
      </w:pPr>
      <w:bookmarkStart w:id="45" w:name="_Toc498940973"/>
      <w:r>
        <w:rPr>
          <w:rFonts w:cs="Arial"/>
          <w:color w:val="000000" w:themeColor="text1"/>
        </w:rPr>
        <w:t xml:space="preserve">Characterisation of inserted DNA involved </w:t>
      </w:r>
      <w:r w:rsidR="0002152C">
        <w:rPr>
          <w:rFonts w:cs="Arial"/>
          <w:color w:val="000000" w:themeColor="text1"/>
        </w:rPr>
        <w:t xml:space="preserve">Southern blotting </w:t>
      </w:r>
      <w:r w:rsidR="00880984">
        <w:rPr>
          <w:rFonts w:cs="Arial"/>
          <w:color w:val="000000" w:themeColor="text1"/>
        </w:rPr>
        <w:t>of</w:t>
      </w:r>
      <w:r w:rsidR="0002152C">
        <w:rPr>
          <w:rFonts w:cs="Arial"/>
          <w:color w:val="000000" w:themeColor="text1"/>
        </w:rPr>
        <w:t xml:space="preserve"> genomic DNA extracted from the production strain. The results showed that </w:t>
      </w:r>
      <w:r w:rsidR="00DD5393">
        <w:rPr>
          <w:rFonts w:cs="Arial"/>
          <w:color w:val="000000" w:themeColor="text1"/>
        </w:rPr>
        <w:t>several copies of the</w:t>
      </w:r>
      <w:r w:rsidR="0002152C">
        <w:rPr>
          <w:rFonts w:cs="Arial"/>
          <w:color w:val="000000" w:themeColor="text1"/>
        </w:rPr>
        <w:t xml:space="preserve"> insert h</w:t>
      </w:r>
      <w:r w:rsidR="00DD5393">
        <w:rPr>
          <w:rFonts w:cs="Arial"/>
          <w:color w:val="000000" w:themeColor="text1"/>
        </w:rPr>
        <w:t>ave</w:t>
      </w:r>
      <w:r w:rsidR="0002152C">
        <w:rPr>
          <w:rFonts w:cs="Arial"/>
          <w:color w:val="000000" w:themeColor="text1"/>
        </w:rPr>
        <w:t xml:space="preserve"> been integrated into the </w:t>
      </w:r>
      <w:r w:rsidR="00573ECD">
        <w:rPr>
          <w:rFonts w:cs="Arial"/>
          <w:color w:val="000000" w:themeColor="text1"/>
        </w:rPr>
        <w:t>host’s</w:t>
      </w:r>
      <w:r w:rsidR="0002152C">
        <w:rPr>
          <w:rFonts w:cs="Arial"/>
          <w:color w:val="000000" w:themeColor="text1"/>
        </w:rPr>
        <w:t xml:space="preserve"> genome</w:t>
      </w:r>
      <w:r w:rsidR="00DD5393">
        <w:rPr>
          <w:rFonts w:cs="Arial"/>
          <w:color w:val="000000" w:themeColor="text1"/>
        </w:rPr>
        <w:t>.</w:t>
      </w:r>
      <w:r w:rsidR="00573ECD">
        <w:rPr>
          <w:rFonts w:cs="Arial"/>
          <w:color w:val="000000" w:themeColor="text1"/>
        </w:rPr>
        <w:t xml:space="preserve"> </w:t>
      </w:r>
    </w:p>
    <w:p w14:paraId="0B28BE7F" w14:textId="77777777" w:rsidR="0037462F" w:rsidRPr="00F92082" w:rsidRDefault="0037462F" w:rsidP="0002152C">
      <w:pPr>
        <w:rPr>
          <w:rFonts w:cs="Arial"/>
          <w:color w:val="000000" w:themeColor="text1"/>
        </w:rPr>
      </w:pPr>
    </w:p>
    <w:bookmarkEnd w:id="45"/>
    <w:p w14:paraId="6A19DEF3" w14:textId="3D1030E0" w:rsidR="00945E8E" w:rsidRDefault="00E465C0" w:rsidP="00F92082">
      <w:pPr>
        <w:rPr>
          <w:rFonts w:cs="Arial"/>
          <w:color w:val="000000" w:themeColor="text1"/>
        </w:rPr>
      </w:pPr>
      <w:r>
        <w:rPr>
          <w:rFonts w:cs="Arial"/>
          <w:color w:val="000000" w:themeColor="text1"/>
        </w:rPr>
        <w:t>Genetic stability of the inserted DNA</w:t>
      </w:r>
      <w:r w:rsidR="00BD223A">
        <w:rPr>
          <w:rFonts w:cs="Arial"/>
          <w:color w:val="000000" w:themeColor="text1"/>
        </w:rPr>
        <w:t xml:space="preserve"> over the fermentation </w:t>
      </w:r>
      <w:r w:rsidR="00880984">
        <w:rPr>
          <w:rFonts w:cs="Arial"/>
          <w:color w:val="000000" w:themeColor="text1"/>
        </w:rPr>
        <w:t>run</w:t>
      </w:r>
      <w:r>
        <w:rPr>
          <w:rFonts w:cs="Arial"/>
          <w:color w:val="000000" w:themeColor="text1"/>
        </w:rPr>
        <w:t xml:space="preserve"> was examined using </w:t>
      </w:r>
      <w:r w:rsidR="00945E8E">
        <w:rPr>
          <w:rFonts w:cs="Arial"/>
          <w:color w:val="000000" w:themeColor="text1"/>
        </w:rPr>
        <w:t xml:space="preserve">Southern </w:t>
      </w:r>
      <w:r w:rsidR="00880984">
        <w:rPr>
          <w:rFonts w:cs="Arial"/>
          <w:color w:val="000000" w:themeColor="text1"/>
        </w:rPr>
        <w:t>blot analyses of</w:t>
      </w:r>
      <w:r w:rsidR="00945E8E">
        <w:rPr>
          <w:rFonts w:cs="Arial"/>
          <w:color w:val="000000" w:themeColor="text1"/>
        </w:rPr>
        <w:t xml:space="preserve"> genomic DNA extracted from the production strain</w:t>
      </w:r>
      <w:r w:rsidR="00DD5393">
        <w:rPr>
          <w:rFonts w:cs="Arial"/>
          <w:color w:val="000000" w:themeColor="text1"/>
        </w:rPr>
        <w:t xml:space="preserve">. </w:t>
      </w:r>
      <w:r w:rsidR="00880984">
        <w:rPr>
          <w:rFonts w:cs="Arial"/>
          <w:color w:val="000000" w:themeColor="text1"/>
        </w:rPr>
        <w:t>The</w:t>
      </w:r>
      <w:r w:rsidR="00DD5393">
        <w:rPr>
          <w:rFonts w:cs="Arial"/>
          <w:color w:val="000000" w:themeColor="text1"/>
        </w:rPr>
        <w:t xml:space="preserve"> </w:t>
      </w:r>
      <w:r>
        <w:rPr>
          <w:rFonts w:cs="Arial"/>
          <w:color w:val="000000" w:themeColor="text1"/>
        </w:rPr>
        <w:t>inserted DNA</w:t>
      </w:r>
      <w:r w:rsidR="00DD5393">
        <w:rPr>
          <w:rFonts w:cs="Arial"/>
          <w:color w:val="000000" w:themeColor="text1"/>
        </w:rPr>
        <w:t xml:space="preserve"> was </w:t>
      </w:r>
      <w:r w:rsidR="00880984">
        <w:rPr>
          <w:rFonts w:cs="Arial"/>
          <w:color w:val="000000" w:themeColor="text1"/>
        </w:rPr>
        <w:t>confirmed to be stable</w:t>
      </w:r>
      <w:r w:rsidR="00DD5393">
        <w:rPr>
          <w:rFonts w:cs="Arial"/>
          <w:color w:val="000000" w:themeColor="text1"/>
        </w:rPr>
        <w:t>.</w:t>
      </w:r>
    </w:p>
    <w:p w14:paraId="75B91471" w14:textId="1BDA3063" w:rsidR="00812798" w:rsidRDefault="00812798" w:rsidP="00F92082">
      <w:pPr>
        <w:rPr>
          <w:rFonts w:cs="Arial"/>
          <w:color w:val="000000" w:themeColor="text1"/>
        </w:rPr>
      </w:pPr>
    </w:p>
    <w:p w14:paraId="1C7F0296" w14:textId="6A7DC71F" w:rsidR="00812798" w:rsidRPr="00812798" w:rsidRDefault="00812798" w:rsidP="00F92082">
      <w:pPr>
        <w:rPr>
          <w:rFonts w:cs="Arial"/>
          <w:color w:val="000000"/>
          <w:szCs w:val="22"/>
        </w:rPr>
      </w:pPr>
      <w:r>
        <w:rPr>
          <w:rFonts w:cs="Arial"/>
          <w:color w:val="000000"/>
          <w:szCs w:val="22"/>
        </w:rPr>
        <w:t>Full details of the genetic modification to the production organism were provided as “Confidential Commercial Information”.</w:t>
      </w:r>
    </w:p>
    <w:p w14:paraId="4E15D0BC" w14:textId="1F38C68E" w:rsidR="0075550B" w:rsidRDefault="0075550B" w:rsidP="00D67005">
      <w:pPr>
        <w:pStyle w:val="FSCh3Standard"/>
      </w:pPr>
      <w:bookmarkStart w:id="46" w:name="_Toc471740086"/>
      <w:bookmarkStart w:id="47" w:name="_Toc505255641"/>
      <w:bookmarkStart w:id="48" w:name="_Toc499282447"/>
      <w:r w:rsidRPr="00DD6B6A">
        <w:t>3.</w:t>
      </w:r>
      <w:r w:rsidR="00953013">
        <w:t>4</w:t>
      </w:r>
      <w:r w:rsidR="00D67005">
        <w:t xml:space="preserve"> </w:t>
      </w:r>
      <w:r w:rsidR="00460133">
        <w:t>S</w:t>
      </w:r>
      <w:r w:rsidR="001F49E8">
        <w:t xml:space="preserve">afety of </w:t>
      </w:r>
      <w:bookmarkEnd w:id="46"/>
      <w:r w:rsidR="00AA3A87">
        <w:t>endo-1,4-β-xylanase</w:t>
      </w:r>
      <w:bookmarkEnd w:id="47"/>
      <w:r w:rsidR="00AA3A87">
        <w:t xml:space="preserve"> </w:t>
      </w:r>
      <w:bookmarkEnd w:id="48"/>
    </w:p>
    <w:p w14:paraId="612C2E56" w14:textId="77777777" w:rsidR="00585EA4" w:rsidRDefault="00585EA4" w:rsidP="00585EA4">
      <w:pPr>
        <w:rPr>
          <w:rFonts w:cs="Arial"/>
          <w:color w:val="000000" w:themeColor="text1"/>
          <w:szCs w:val="22"/>
        </w:rPr>
      </w:pPr>
      <w:r w:rsidRPr="006D1C1E">
        <w:rPr>
          <w:rFonts w:cs="Arial"/>
          <w:color w:val="000000" w:themeColor="text1"/>
          <w:szCs w:val="22"/>
        </w:rPr>
        <w:t>In considering the safety of novel proteins it is important to consider that a large and diverse range of proteins are ingested as part of the normal human diet without any adverse effects</w:t>
      </w:r>
      <w:r>
        <w:rPr>
          <w:rFonts w:cs="Arial"/>
          <w:color w:val="000000" w:themeColor="text1"/>
          <w:szCs w:val="22"/>
        </w:rPr>
        <w:t xml:space="preserve">. </w:t>
      </w:r>
    </w:p>
    <w:p w14:paraId="3180AFBC" w14:textId="3751B727" w:rsidR="008C6C40" w:rsidRDefault="00585EA4" w:rsidP="00585EA4">
      <w:pPr>
        <w:rPr>
          <w:rFonts w:cs="Arial"/>
          <w:color w:val="000000" w:themeColor="text1"/>
          <w:szCs w:val="22"/>
        </w:rPr>
      </w:pPr>
      <w:r w:rsidRPr="006D1C1E">
        <w:rPr>
          <w:rFonts w:cs="Arial"/>
          <w:color w:val="000000" w:themeColor="text1"/>
          <w:szCs w:val="22"/>
        </w:rPr>
        <w:t xml:space="preserve">Only a small number of dietary proteins have the potential to </w:t>
      </w:r>
      <w:r w:rsidR="00C21A46">
        <w:rPr>
          <w:rFonts w:cs="Arial"/>
          <w:color w:val="000000" w:themeColor="text1"/>
          <w:szCs w:val="22"/>
        </w:rPr>
        <w:t>cause adverse</w:t>
      </w:r>
      <w:r w:rsidR="00C21A46" w:rsidRPr="006D1C1E">
        <w:rPr>
          <w:rFonts w:cs="Arial"/>
          <w:color w:val="000000" w:themeColor="text1"/>
          <w:szCs w:val="22"/>
        </w:rPr>
        <w:t xml:space="preserve"> </w:t>
      </w:r>
      <w:r w:rsidRPr="006D1C1E">
        <w:rPr>
          <w:rFonts w:cs="Arial"/>
          <w:color w:val="000000" w:themeColor="text1"/>
          <w:szCs w:val="22"/>
        </w:rPr>
        <w:t>health</w:t>
      </w:r>
      <w:r w:rsidR="00C21A46">
        <w:rPr>
          <w:rFonts w:cs="Arial"/>
          <w:color w:val="000000" w:themeColor="text1"/>
          <w:szCs w:val="22"/>
        </w:rPr>
        <w:t xml:space="preserve"> effects</w:t>
      </w:r>
      <w:r w:rsidRPr="006D1C1E">
        <w:rPr>
          <w:rFonts w:cs="Arial"/>
          <w:color w:val="000000" w:themeColor="text1"/>
          <w:szCs w:val="22"/>
        </w:rPr>
        <w:t xml:space="preserve">, because they have anti-nutrient properties or they can cause allergies in some consumers (Delaney et al. 2008). </w:t>
      </w:r>
      <w:r w:rsidR="008C6C40">
        <w:rPr>
          <w:rFonts w:cs="Arial"/>
          <w:color w:val="000000" w:themeColor="text1"/>
          <w:szCs w:val="22"/>
        </w:rPr>
        <w:t xml:space="preserve"> Furthermore, proteins perform a wide range of functions in humans. To encompass this range of </w:t>
      </w:r>
      <w:r w:rsidR="00BD281E">
        <w:rPr>
          <w:rFonts w:cs="Arial"/>
          <w:color w:val="000000" w:themeColor="text1"/>
          <w:szCs w:val="22"/>
        </w:rPr>
        <w:t xml:space="preserve">type and </w:t>
      </w:r>
      <w:r w:rsidR="008C6C40">
        <w:rPr>
          <w:rFonts w:cs="Arial"/>
          <w:color w:val="000000" w:themeColor="text1"/>
          <w:szCs w:val="22"/>
        </w:rPr>
        <w:t>function, the safety assessment</w:t>
      </w:r>
      <w:r w:rsidR="00BD281E">
        <w:rPr>
          <w:rFonts w:cs="Arial"/>
          <w:color w:val="000000" w:themeColor="text1"/>
          <w:szCs w:val="22"/>
        </w:rPr>
        <w:t xml:space="preserve"> of the novel protein</w:t>
      </w:r>
      <w:r w:rsidR="008C6C40">
        <w:rPr>
          <w:rFonts w:cs="Arial"/>
          <w:color w:val="000000" w:themeColor="text1"/>
          <w:szCs w:val="22"/>
        </w:rPr>
        <w:t xml:space="preserve"> must consider</w:t>
      </w:r>
      <w:r w:rsidR="008C6C40" w:rsidRPr="008C6C40">
        <w:rPr>
          <w:rFonts w:cs="Arial"/>
          <w:color w:val="000000" w:themeColor="text1"/>
          <w:szCs w:val="22"/>
        </w:rPr>
        <w:t xml:space="preserve"> </w:t>
      </w:r>
      <w:r w:rsidR="00BD281E">
        <w:rPr>
          <w:rFonts w:cs="Arial"/>
          <w:color w:val="000000" w:themeColor="text1"/>
          <w:szCs w:val="22"/>
        </w:rPr>
        <w:t>if there is a</w:t>
      </w:r>
      <w:r w:rsidR="008C6C40">
        <w:rPr>
          <w:rFonts w:cs="Arial"/>
          <w:color w:val="000000" w:themeColor="text1"/>
          <w:szCs w:val="22"/>
        </w:rPr>
        <w:t xml:space="preserve"> history of safe use, are </w:t>
      </w:r>
      <w:r w:rsidR="00BD281E">
        <w:rPr>
          <w:rFonts w:cs="Arial"/>
          <w:color w:val="000000" w:themeColor="text1"/>
          <w:szCs w:val="22"/>
        </w:rPr>
        <w:t xml:space="preserve">there </w:t>
      </w:r>
      <w:r w:rsidR="008C6C40">
        <w:rPr>
          <w:rFonts w:cs="Arial"/>
          <w:color w:val="000000" w:themeColor="text1"/>
          <w:szCs w:val="22"/>
        </w:rPr>
        <w:t xml:space="preserve">any </w:t>
      </w:r>
      <w:r w:rsidR="008C6C40" w:rsidRPr="006D1C1E">
        <w:rPr>
          <w:rFonts w:cs="Arial"/>
          <w:color w:val="000000" w:themeColor="text1"/>
          <w:szCs w:val="22"/>
        </w:rPr>
        <w:t>potential toxic, anti-nutrient or allergenic effects</w:t>
      </w:r>
      <w:r w:rsidR="008C6C40">
        <w:rPr>
          <w:rFonts w:cs="Arial"/>
          <w:color w:val="000000" w:themeColor="text1"/>
          <w:szCs w:val="22"/>
        </w:rPr>
        <w:t xml:space="preserve"> and </w:t>
      </w:r>
      <w:r w:rsidR="00BD281E">
        <w:rPr>
          <w:rFonts w:cs="Arial"/>
          <w:color w:val="000000" w:themeColor="text1"/>
          <w:szCs w:val="22"/>
        </w:rPr>
        <w:t>is the</w:t>
      </w:r>
      <w:r w:rsidR="008C6C40">
        <w:rPr>
          <w:rFonts w:cs="Arial"/>
          <w:color w:val="000000" w:themeColor="text1"/>
          <w:szCs w:val="22"/>
        </w:rPr>
        <w:t xml:space="preserve"> protein</w:t>
      </w:r>
      <w:r w:rsidR="00BD281E">
        <w:rPr>
          <w:rFonts w:cs="Arial"/>
          <w:color w:val="000000" w:themeColor="text1"/>
          <w:szCs w:val="22"/>
        </w:rPr>
        <w:t xml:space="preserve"> </w:t>
      </w:r>
      <w:r w:rsidR="008C6C40">
        <w:rPr>
          <w:rFonts w:cs="Arial"/>
          <w:color w:val="000000" w:themeColor="text1"/>
          <w:szCs w:val="22"/>
        </w:rPr>
        <w:t>susceptibility to digestion.</w:t>
      </w:r>
    </w:p>
    <w:p w14:paraId="54EC16E7" w14:textId="77777777" w:rsidR="009D62DB" w:rsidRPr="00585EA4" w:rsidRDefault="009D62DB" w:rsidP="00585EA4">
      <w:pPr>
        <w:rPr>
          <w:rFonts w:cs="Arial"/>
          <w:color w:val="000000" w:themeColor="text1"/>
          <w:szCs w:val="22"/>
        </w:rPr>
      </w:pPr>
    </w:p>
    <w:p w14:paraId="7AEE9AAE" w14:textId="5BEB61A6" w:rsidR="00B308D2" w:rsidRDefault="00F92082" w:rsidP="008B74A9">
      <w:pPr>
        <w:rPr>
          <w:color w:val="31849B" w:themeColor="accent5" w:themeShade="BF"/>
        </w:rPr>
      </w:pPr>
      <w:r>
        <w:t>FSANZ has previously a</w:t>
      </w:r>
      <w:r w:rsidR="00626605">
        <w:t>ss</w:t>
      </w:r>
      <w:r>
        <w:t xml:space="preserve">essed the safety of </w:t>
      </w:r>
      <w:r w:rsidR="00AA3A87">
        <w:rPr>
          <w:rFonts w:cs="Arial"/>
        </w:rPr>
        <w:t xml:space="preserve">endo-1,4-β-xylanase </w:t>
      </w:r>
      <w:r>
        <w:t xml:space="preserve"> from a </w:t>
      </w:r>
      <w:r w:rsidR="00A74B42">
        <w:t xml:space="preserve">range </w:t>
      </w:r>
      <w:r>
        <w:t xml:space="preserve">of microorganisms </w:t>
      </w:r>
      <w:r w:rsidR="009A3B51">
        <w:t xml:space="preserve">(NFA 1993; ANZFA 1997a, 1997b; FSANZ 2015, 2017), </w:t>
      </w:r>
      <w:r w:rsidR="00A74B42">
        <w:t xml:space="preserve">permissible </w:t>
      </w:r>
      <w:r w:rsidR="009A3B51">
        <w:t>under Standard 1.3.3</w:t>
      </w:r>
      <w:r w:rsidR="00FB0DD7">
        <w:t>.</w:t>
      </w:r>
      <w:r w:rsidR="009A3B51">
        <w:t xml:space="preserve"> </w:t>
      </w:r>
      <w:r>
        <w:t xml:space="preserve">Schedule 18 </w:t>
      </w:r>
      <w:r w:rsidR="00626605">
        <w:t>lists</w:t>
      </w:r>
      <w:r w:rsidR="009A3B51">
        <w:t xml:space="preserve"> the </w:t>
      </w:r>
      <w:r w:rsidR="00F60004">
        <w:t xml:space="preserve">various </w:t>
      </w:r>
      <w:r w:rsidR="009A3B51">
        <w:t>permissions</w:t>
      </w:r>
      <w:r w:rsidR="00DF237A">
        <w:t>,</w:t>
      </w:r>
      <w:r w:rsidR="00D81327" w:rsidDel="00F60004">
        <w:t xml:space="preserve"> </w:t>
      </w:r>
      <w:r w:rsidR="00F60004">
        <w:t xml:space="preserve">including some that </w:t>
      </w:r>
      <w:r w:rsidR="00D81327">
        <w:t xml:space="preserve">predate the establishment of the National Food Authority in 1991, </w:t>
      </w:r>
      <w:r w:rsidR="00F60004">
        <w:t xml:space="preserve">thereby </w:t>
      </w:r>
      <w:r w:rsidR="00D81327">
        <w:t xml:space="preserve">indicating that this enzyme has a long history of safe use </w:t>
      </w:r>
      <w:r w:rsidR="009D5F76">
        <w:t xml:space="preserve">as a processing aid </w:t>
      </w:r>
      <w:r w:rsidR="00D81327">
        <w:t xml:space="preserve">in </w:t>
      </w:r>
      <w:r w:rsidR="00F60004">
        <w:t>the food industry</w:t>
      </w:r>
      <w:r w:rsidR="00D81327">
        <w:t>.</w:t>
      </w:r>
    </w:p>
    <w:p w14:paraId="4A2F7B2C" w14:textId="3B9C04E7" w:rsidR="00F92082" w:rsidRDefault="00F92082" w:rsidP="00F92082"/>
    <w:p w14:paraId="41142F90" w14:textId="12F89E29" w:rsidR="00684F16" w:rsidRDefault="00F92082" w:rsidP="00F92082">
      <w:pPr>
        <w:autoSpaceDE w:val="0"/>
        <w:autoSpaceDN w:val="0"/>
        <w:adjustRightInd w:val="0"/>
        <w:rPr>
          <w:rFonts w:cs="Arial"/>
          <w:b/>
          <w:color w:val="FF0000"/>
        </w:rPr>
      </w:pPr>
      <w:r>
        <w:rPr>
          <w:rFonts w:cs="Arial"/>
        </w:rPr>
        <w:t>The U</w:t>
      </w:r>
      <w:r w:rsidR="007B7C28">
        <w:rPr>
          <w:rFonts w:cs="Arial"/>
        </w:rPr>
        <w:t xml:space="preserve">nited </w:t>
      </w:r>
      <w:r>
        <w:rPr>
          <w:rFonts w:cs="Arial"/>
        </w:rPr>
        <w:t>S</w:t>
      </w:r>
      <w:r w:rsidR="007B7C28">
        <w:rPr>
          <w:rFonts w:cs="Arial"/>
        </w:rPr>
        <w:t xml:space="preserve">tates </w:t>
      </w:r>
      <w:r>
        <w:rPr>
          <w:rFonts w:cs="Arial"/>
        </w:rPr>
        <w:t>Food &amp; Drug Administration (FDA) has granted Generally Recognised as Safe (GRAS) status to the enzyme preparation under the intended conditions of use (FDA, 201</w:t>
      </w:r>
      <w:r w:rsidR="00F77F3A">
        <w:rPr>
          <w:rFonts w:cs="Arial"/>
        </w:rPr>
        <w:t>6</w:t>
      </w:r>
      <w:r>
        <w:rPr>
          <w:rFonts w:cs="Arial"/>
        </w:rPr>
        <w:t xml:space="preserve">). The </w:t>
      </w:r>
      <w:r w:rsidR="007B7C28">
        <w:rPr>
          <w:rFonts w:cs="Arial"/>
        </w:rPr>
        <w:t xml:space="preserve">French </w:t>
      </w:r>
      <w:r w:rsidR="00B96633">
        <w:rPr>
          <w:rFonts w:cs="Arial"/>
        </w:rPr>
        <w:t>Agency for Food, Environment and Occupational Health &amp; Safety (ANSES)</w:t>
      </w:r>
      <w:r>
        <w:rPr>
          <w:rFonts w:cs="Arial"/>
        </w:rPr>
        <w:t xml:space="preserve"> ha</w:t>
      </w:r>
      <w:r w:rsidR="006269BC">
        <w:rPr>
          <w:rFonts w:cs="Arial"/>
        </w:rPr>
        <w:t>s</w:t>
      </w:r>
      <w:r>
        <w:rPr>
          <w:rFonts w:cs="Arial"/>
        </w:rPr>
        <w:t xml:space="preserve"> also approved the enzyme for the intended use (</w:t>
      </w:r>
      <w:r w:rsidR="007B7C28">
        <w:rPr>
          <w:rFonts w:cs="Arial"/>
        </w:rPr>
        <w:t>ANSE</w:t>
      </w:r>
      <w:r w:rsidR="00B96633">
        <w:rPr>
          <w:rFonts w:cs="Arial"/>
        </w:rPr>
        <w:t>S</w:t>
      </w:r>
      <w:r>
        <w:rPr>
          <w:rFonts w:cs="Arial"/>
        </w:rPr>
        <w:t xml:space="preserve">, </w:t>
      </w:r>
      <w:r w:rsidR="004A5A20">
        <w:rPr>
          <w:rFonts w:cs="Arial"/>
        </w:rPr>
        <w:t>2015</w:t>
      </w:r>
      <w:r>
        <w:rPr>
          <w:rFonts w:cs="Arial"/>
        </w:rPr>
        <w:t>)</w:t>
      </w:r>
      <w:r w:rsidR="00684F16">
        <w:rPr>
          <w:rFonts w:cs="Arial"/>
        </w:rPr>
        <w:t xml:space="preserve">. </w:t>
      </w:r>
    </w:p>
    <w:p w14:paraId="6F061163" w14:textId="6B74D44D" w:rsidR="0075550B" w:rsidRPr="00DD6B6A" w:rsidRDefault="0075550B" w:rsidP="00BF6E0D">
      <w:pPr>
        <w:pStyle w:val="Heading4"/>
      </w:pPr>
      <w:bookmarkStart w:id="49" w:name="_Toc471740088"/>
      <w:bookmarkStart w:id="50" w:name="_Toc498940976"/>
      <w:bookmarkStart w:id="51" w:name="_Toc499282449"/>
      <w:r w:rsidRPr="00DD6B6A">
        <w:t>3.</w:t>
      </w:r>
      <w:r w:rsidR="00953013">
        <w:t>4</w:t>
      </w:r>
      <w:r w:rsidRPr="00DD6B6A">
        <w:t>.</w:t>
      </w:r>
      <w:r w:rsidR="00086E28">
        <w:t>1</w:t>
      </w:r>
      <w:r w:rsidRPr="00DD6B6A">
        <w:tab/>
        <w:t>Bioinformatic analysis for potential allergenicity</w:t>
      </w:r>
      <w:bookmarkEnd w:id="49"/>
      <w:bookmarkEnd w:id="50"/>
      <w:bookmarkEnd w:id="51"/>
      <w:r w:rsidRPr="00DD6B6A">
        <w:t xml:space="preserve"> </w:t>
      </w:r>
    </w:p>
    <w:p w14:paraId="56D60484" w14:textId="37EC9877" w:rsidR="0075550B" w:rsidRDefault="0075550B" w:rsidP="0075550B">
      <w:r>
        <w:rPr>
          <w:lang w:eastAsia="en-AU" w:bidi="ar-SA"/>
        </w:rPr>
        <w:t>The Applicant has provided the results of an</w:t>
      </w:r>
      <w:r w:rsidRPr="00DD6B6A">
        <w:rPr>
          <w:lang w:eastAsia="en-AU" w:bidi="ar-SA"/>
        </w:rPr>
        <w:t xml:space="preserve"> </w:t>
      </w:r>
      <w:r w:rsidRPr="00DD6B6A">
        <w:rPr>
          <w:i/>
          <w:lang w:eastAsia="en-AU" w:bidi="ar-SA"/>
        </w:rPr>
        <w:t>in silico</w:t>
      </w:r>
      <w:r w:rsidRPr="00DD6B6A">
        <w:rPr>
          <w:lang w:eastAsia="en-AU" w:bidi="ar-SA"/>
        </w:rPr>
        <w:t xml:space="preserve"> analysis</w:t>
      </w:r>
      <w:r>
        <w:rPr>
          <w:lang w:eastAsia="en-AU" w:bidi="ar-SA"/>
        </w:rPr>
        <w:t xml:space="preserve"> </w:t>
      </w:r>
      <w:r>
        <w:t xml:space="preserve">comparing the </w:t>
      </w:r>
      <w:r w:rsidR="00AA3A87">
        <w:t>endo-1,4-β-xylanase</w:t>
      </w:r>
      <w:r>
        <w:t xml:space="preserve"> amino acid sequence </w:t>
      </w:r>
      <w:r w:rsidR="001A48C9">
        <w:t xml:space="preserve">inserted into </w:t>
      </w:r>
      <w:r w:rsidR="002D4741" w:rsidRPr="002E2590">
        <w:rPr>
          <w:i/>
          <w:lang w:eastAsia="en-AU" w:bidi="ar-SA"/>
        </w:rPr>
        <w:t>T</w:t>
      </w:r>
      <w:r w:rsidR="002D4741">
        <w:rPr>
          <w:i/>
          <w:lang w:eastAsia="en-AU" w:bidi="ar-SA"/>
        </w:rPr>
        <w:t>.</w:t>
      </w:r>
      <w:r w:rsidR="002D4741" w:rsidRPr="002E2590">
        <w:rPr>
          <w:i/>
          <w:lang w:eastAsia="en-AU" w:bidi="ar-SA"/>
        </w:rPr>
        <w:t xml:space="preserve"> </w:t>
      </w:r>
      <w:r w:rsidR="001A48C9">
        <w:rPr>
          <w:i/>
          <w:lang w:eastAsia="en-AU" w:bidi="ar-SA"/>
        </w:rPr>
        <w:t xml:space="preserve">reesei </w:t>
      </w:r>
      <w:r>
        <w:t xml:space="preserve">to known allergenic proteins </w:t>
      </w:r>
      <w:r w:rsidR="00275CF7">
        <w:t xml:space="preserve">listed in a range of allergen databases (Table </w:t>
      </w:r>
      <w:r w:rsidR="001A6BB8">
        <w:t>4</w:t>
      </w:r>
      <w:r w:rsidR="00275CF7">
        <w:t>).</w:t>
      </w:r>
      <w:r w:rsidR="00447FC6">
        <w:t xml:space="preserve"> </w:t>
      </w:r>
    </w:p>
    <w:p w14:paraId="593FCDA7" w14:textId="77777777" w:rsidR="00275CF7" w:rsidRDefault="00275CF7" w:rsidP="0075550B"/>
    <w:p w14:paraId="74FD3E58" w14:textId="27029056" w:rsidR="002A5368" w:rsidRDefault="002A5368" w:rsidP="002E7389">
      <w:pPr>
        <w:pStyle w:val="FSTableHeading0"/>
      </w:pPr>
      <w:r w:rsidRPr="002E7389">
        <w:rPr>
          <w:b/>
        </w:rPr>
        <w:t xml:space="preserve">Table </w:t>
      </w:r>
      <w:r w:rsidR="001A6BB8" w:rsidRPr="002E7389">
        <w:rPr>
          <w:b/>
        </w:rPr>
        <w:t>4</w:t>
      </w:r>
      <w:r>
        <w:t xml:space="preserve"> </w:t>
      </w:r>
      <w:r w:rsidRPr="006A36B6">
        <w:t>List of allergen databases</w:t>
      </w:r>
      <w:r w:rsidR="00C65634">
        <w:t xml:space="preserve"> included in searches by the Applicant</w:t>
      </w:r>
    </w:p>
    <w:tbl>
      <w:tblPr>
        <w:tblStyle w:val="TableGrid"/>
        <w:tblW w:w="0" w:type="auto"/>
        <w:tblInd w:w="108" w:type="dxa"/>
        <w:tblLook w:val="04A0" w:firstRow="1" w:lastRow="0" w:firstColumn="1" w:lastColumn="0" w:noHBand="0" w:noVBand="1"/>
        <w:tblDescription w:val="There are 4 rows of allergen databases that were used in search's by the Applicant. "/>
      </w:tblPr>
      <w:tblGrid>
        <w:gridCol w:w="3406"/>
        <w:gridCol w:w="3272"/>
      </w:tblGrid>
      <w:tr w:rsidR="00C65634" w14:paraId="5E2708E7" w14:textId="77777777" w:rsidTr="006A36B6">
        <w:tc>
          <w:tcPr>
            <w:tcW w:w="3406" w:type="dxa"/>
            <w:shd w:val="clear" w:color="auto" w:fill="BFBFBF" w:themeFill="background1" w:themeFillShade="BF"/>
          </w:tcPr>
          <w:p w14:paraId="2BC9581F" w14:textId="49BCBB8F" w:rsidR="00C65634" w:rsidRPr="006A36B6" w:rsidRDefault="00A7183F" w:rsidP="002A5368">
            <w:pPr>
              <w:pStyle w:val="FSTableHeading"/>
              <w:spacing w:before="40" w:after="40"/>
              <w:jc w:val="left"/>
              <w:rPr>
                <w:sz w:val="18"/>
                <w:szCs w:val="18"/>
                <w:lang w:eastAsia="en-AU" w:bidi="ar-SA"/>
              </w:rPr>
            </w:pPr>
            <w:r>
              <w:rPr>
                <w:sz w:val="18"/>
                <w:szCs w:val="18"/>
                <w:lang w:eastAsia="en-AU" w:bidi="ar-SA"/>
              </w:rPr>
              <w:t xml:space="preserve">Allergen </w:t>
            </w:r>
            <w:r w:rsidR="00C65634" w:rsidRPr="006A36B6">
              <w:rPr>
                <w:sz w:val="18"/>
                <w:szCs w:val="18"/>
                <w:lang w:eastAsia="en-AU" w:bidi="ar-SA"/>
              </w:rPr>
              <w:t>Database</w:t>
            </w:r>
          </w:p>
        </w:tc>
        <w:tc>
          <w:tcPr>
            <w:tcW w:w="3272" w:type="dxa"/>
            <w:shd w:val="clear" w:color="auto" w:fill="BFBFBF" w:themeFill="background1" w:themeFillShade="BF"/>
          </w:tcPr>
          <w:p w14:paraId="37E6B708" w14:textId="282D502A" w:rsidR="00C65634" w:rsidRPr="006A36B6" w:rsidRDefault="00C65634" w:rsidP="002A5368">
            <w:pPr>
              <w:pStyle w:val="FSTableHeading"/>
              <w:spacing w:before="40" w:after="40"/>
              <w:jc w:val="left"/>
              <w:rPr>
                <w:sz w:val="18"/>
                <w:szCs w:val="18"/>
                <w:lang w:eastAsia="en-AU" w:bidi="ar-SA"/>
              </w:rPr>
            </w:pPr>
            <w:r w:rsidRPr="006A36B6">
              <w:rPr>
                <w:sz w:val="18"/>
                <w:szCs w:val="18"/>
                <w:lang w:eastAsia="en-AU" w:bidi="ar-SA"/>
              </w:rPr>
              <w:t>URL</w:t>
            </w:r>
          </w:p>
        </w:tc>
      </w:tr>
      <w:tr w:rsidR="00C65634" w14:paraId="2E689C45" w14:textId="77777777" w:rsidTr="006A36B6">
        <w:tc>
          <w:tcPr>
            <w:tcW w:w="3406" w:type="dxa"/>
          </w:tcPr>
          <w:p w14:paraId="1A8D61A2" w14:textId="5076AD8D" w:rsidR="00C65634" w:rsidRPr="006A36B6" w:rsidRDefault="00BA4E24" w:rsidP="002A5368">
            <w:pPr>
              <w:pStyle w:val="FSTableText"/>
              <w:spacing w:before="40" w:after="40"/>
              <w:rPr>
                <w:sz w:val="18"/>
                <w:szCs w:val="18"/>
                <w:lang w:eastAsia="en-AU" w:bidi="ar-SA"/>
              </w:rPr>
            </w:pPr>
            <w:hyperlink r:id="rId15" w:history="1">
              <w:r w:rsidR="00C65634" w:rsidRPr="00A7183F">
                <w:rPr>
                  <w:rStyle w:val="Hyperlink"/>
                  <w:sz w:val="18"/>
                  <w:szCs w:val="18"/>
                  <w:lang w:eastAsia="en-AU" w:bidi="ar-SA"/>
                </w:rPr>
                <w:t>Allergen Database for Food Safety</w:t>
              </w:r>
            </w:hyperlink>
          </w:p>
        </w:tc>
        <w:tc>
          <w:tcPr>
            <w:tcW w:w="3272" w:type="dxa"/>
          </w:tcPr>
          <w:p w14:paraId="0F254D77" w14:textId="4007C7BE" w:rsidR="00C65634" w:rsidRPr="006A36B6" w:rsidRDefault="00C65634" w:rsidP="002A5368">
            <w:pPr>
              <w:pStyle w:val="FSTableText"/>
              <w:spacing w:before="40" w:after="40"/>
              <w:rPr>
                <w:sz w:val="18"/>
                <w:szCs w:val="18"/>
                <w:lang w:eastAsia="en-AU" w:bidi="ar-SA"/>
              </w:rPr>
            </w:pPr>
            <w:r w:rsidRPr="006A36B6">
              <w:rPr>
                <w:sz w:val="18"/>
                <w:szCs w:val="18"/>
                <w:lang w:eastAsia="en-AU" w:bidi="ar-SA"/>
              </w:rPr>
              <w:t>http://allergen.nihs.go.jp/ADFS/</w:t>
            </w:r>
          </w:p>
        </w:tc>
      </w:tr>
      <w:tr w:rsidR="00C65634" w14:paraId="6222DB6A" w14:textId="77777777" w:rsidTr="006A36B6">
        <w:tc>
          <w:tcPr>
            <w:tcW w:w="3406" w:type="dxa"/>
          </w:tcPr>
          <w:p w14:paraId="7E3FC60D" w14:textId="79AD06B1" w:rsidR="00C65634" w:rsidRPr="006A36B6" w:rsidRDefault="00BA4E24" w:rsidP="002A5368">
            <w:pPr>
              <w:pStyle w:val="FSTableText"/>
              <w:spacing w:before="40" w:after="40"/>
              <w:rPr>
                <w:sz w:val="18"/>
                <w:szCs w:val="18"/>
                <w:lang w:eastAsia="en-AU" w:bidi="ar-SA"/>
              </w:rPr>
            </w:pPr>
            <w:hyperlink r:id="rId16" w:history="1">
              <w:r w:rsidR="00C65634" w:rsidRPr="00A7183F">
                <w:rPr>
                  <w:rStyle w:val="Hyperlink"/>
                  <w:sz w:val="18"/>
                  <w:szCs w:val="18"/>
                  <w:lang w:eastAsia="en-AU" w:bidi="ar-SA"/>
                </w:rPr>
                <w:t>Allergen Online (FARRP)</w:t>
              </w:r>
            </w:hyperlink>
          </w:p>
        </w:tc>
        <w:tc>
          <w:tcPr>
            <w:tcW w:w="3272" w:type="dxa"/>
          </w:tcPr>
          <w:p w14:paraId="13441E75" w14:textId="5E0D6CCE" w:rsidR="00C65634" w:rsidRPr="006A36B6" w:rsidRDefault="00C65634" w:rsidP="002A5368">
            <w:pPr>
              <w:pStyle w:val="FSTableText"/>
              <w:spacing w:before="40" w:after="40"/>
              <w:rPr>
                <w:sz w:val="18"/>
                <w:szCs w:val="18"/>
                <w:lang w:eastAsia="en-AU" w:bidi="ar-SA"/>
              </w:rPr>
            </w:pPr>
            <w:r w:rsidRPr="006A36B6">
              <w:rPr>
                <w:sz w:val="18"/>
                <w:szCs w:val="18"/>
                <w:lang w:eastAsia="en-AU" w:bidi="ar-SA"/>
              </w:rPr>
              <w:t>http://www.allergenonline.com/</w:t>
            </w:r>
          </w:p>
        </w:tc>
      </w:tr>
      <w:tr w:rsidR="00C65634" w14:paraId="23275998" w14:textId="77777777" w:rsidTr="006A36B6">
        <w:tc>
          <w:tcPr>
            <w:tcW w:w="3406" w:type="dxa"/>
          </w:tcPr>
          <w:p w14:paraId="6E48535D" w14:textId="2C46D19C" w:rsidR="00C65634" w:rsidRPr="006A36B6" w:rsidRDefault="00BA4E24" w:rsidP="002A5368">
            <w:pPr>
              <w:pStyle w:val="FSTableText"/>
              <w:spacing w:before="40" w:after="40"/>
              <w:rPr>
                <w:sz w:val="18"/>
                <w:szCs w:val="18"/>
                <w:lang w:eastAsia="en-AU" w:bidi="ar-SA"/>
              </w:rPr>
            </w:pPr>
            <w:hyperlink r:id="rId17" w:history="1">
              <w:r w:rsidR="00C65634" w:rsidRPr="00A7183F">
                <w:rPr>
                  <w:rStyle w:val="Hyperlink"/>
                  <w:sz w:val="18"/>
                  <w:szCs w:val="18"/>
                  <w:lang w:eastAsia="en-AU" w:bidi="ar-SA"/>
                </w:rPr>
                <w:t>Structural Database of Allergen Proteins</w:t>
              </w:r>
            </w:hyperlink>
          </w:p>
        </w:tc>
        <w:tc>
          <w:tcPr>
            <w:tcW w:w="3272" w:type="dxa"/>
          </w:tcPr>
          <w:p w14:paraId="580DAD21" w14:textId="1208E2ED" w:rsidR="00C65634" w:rsidRPr="006A36B6" w:rsidRDefault="00C65634" w:rsidP="002A5368">
            <w:pPr>
              <w:pStyle w:val="FSTableText"/>
              <w:spacing w:before="40" w:after="40"/>
              <w:rPr>
                <w:sz w:val="18"/>
                <w:szCs w:val="18"/>
                <w:lang w:eastAsia="en-AU" w:bidi="ar-SA"/>
              </w:rPr>
            </w:pPr>
            <w:r w:rsidRPr="006A36B6">
              <w:rPr>
                <w:sz w:val="18"/>
                <w:szCs w:val="18"/>
                <w:lang w:eastAsia="en-AU" w:bidi="ar-SA"/>
              </w:rPr>
              <w:t>http://fermi.utmb.edu/</w:t>
            </w:r>
          </w:p>
        </w:tc>
      </w:tr>
      <w:tr w:rsidR="00C65634" w14:paraId="17294BA4" w14:textId="77777777" w:rsidTr="006A36B6">
        <w:tc>
          <w:tcPr>
            <w:tcW w:w="3406" w:type="dxa"/>
          </w:tcPr>
          <w:p w14:paraId="37A4DBD5" w14:textId="67CF1C7F" w:rsidR="00C65634" w:rsidRPr="006A36B6" w:rsidRDefault="00BA4E24" w:rsidP="002A5368">
            <w:pPr>
              <w:pStyle w:val="FSTableText"/>
              <w:spacing w:before="40" w:after="40"/>
              <w:rPr>
                <w:sz w:val="18"/>
                <w:szCs w:val="18"/>
                <w:lang w:eastAsia="en-AU" w:bidi="ar-SA"/>
              </w:rPr>
            </w:pPr>
            <w:hyperlink r:id="rId18" w:history="1">
              <w:r w:rsidR="00C65634" w:rsidRPr="00A7183F">
                <w:rPr>
                  <w:rStyle w:val="Hyperlink"/>
                  <w:sz w:val="18"/>
                  <w:szCs w:val="18"/>
                  <w:lang w:eastAsia="en-AU" w:bidi="ar-SA"/>
                </w:rPr>
                <w:t>AllerMatch</w:t>
              </w:r>
            </w:hyperlink>
          </w:p>
        </w:tc>
        <w:tc>
          <w:tcPr>
            <w:tcW w:w="3272" w:type="dxa"/>
          </w:tcPr>
          <w:p w14:paraId="6BEF0BEB" w14:textId="66A79464" w:rsidR="00C65634" w:rsidRPr="006A36B6" w:rsidRDefault="00C65634" w:rsidP="002A5368">
            <w:pPr>
              <w:pStyle w:val="FSTableText"/>
              <w:spacing w:before="40" w:after="40"/>
              <w:rPr>
                <w:sz w:val="18"/>
                <w:szCs w:val="18"/>
                <w:lang w:eastAsia="en-AU" w:bidi="ar-SA"/>
              </w:rPr>
            </w:pPr>
            <w:r w:rsidRPr="006A36B6">
              <w:rPr>
                <w:sz w:val="18"/>
                <w:szCs w:val="18"/>
                <w:lang w:eastAsia="en-AU" w:bidi="ar-SA"/>
              </w:rPr>
              <w:t>http://www.allermatch.org/</w:t>
            </w:r>
          </w:p>
        </w:tc>
      </w:tr>
    </w:tbl>
    <w:p w14:paraId="3DD8D12E" w14:textId="77777777" w:rsidR="00275CF7" w:rsidRDefault="00275CF7" w:rsidP="0075550B">
      <w:pPr>
        <w:rPr>
          <w:lang w:eastAsia="en-AU" w:bidi="ar-SA"/>
        </w:rPr>
      </w:pPr>
    </w:p>
    <w:p w14:paraId="793F1A89" w14:textId="2F01CDD1" w:rsidR="0075550B" w:rsidRPr="00ED6752" w:rsidRDefault="00ED6752" w:rsidP="0075550B">
      <w:pPr>
        <w:rPr>
          <w:rFonts w:cs="Arial"/>
          <w:color w:val="000000" w:themeColor="text1"/>
        </w:rPr>
      </w:pPr>
      <w:r>
        <w:rPr>
          <w:rFonts w:cs="Arial"/>
          <w:color w:val="000000" w:themeColor="text1"/>
        </w:rPr>
        <w:t>Two</w:t>
      </w:r>
      <w:r w:rsidR="0075550B" w:rsidRPr="00ED6752">
        <w:rPr>
          <w:rFonts w:cs="Arial"/>
          <w:color w:val="000000" w:themeColor="text1"/>
        </w:rPr>
        <w:t xml:space="preserve"> types of analyses were performed for this comparison:</w:t>
      </w:r>
    </w:p>
    <w:p w14:paraId="04E9F0FC" w14:textId="77777777" w:rsidR="0075550B" w:rsidRPr="00ED6752" w:rsidRDefault="0075550B" w:rsidP="0075550B">
      <w:pPr>
        <w:rPr>
          <w:rFonts w:cs="Arial"/>
          <w:color w:val="000000" w:themeColor="text1"/>
        </w:rPr>
      </w:pPr>
    </w:p>
    <w:p w14:paraId="699F3CD4" w14:textId="5C2E62A4" w:rsidR="00ED6752" w:rsidRPr="00ED6752" w:rsidRDefault="00ED6752" w:rsidP="002A5368">
      <w:pPr>
        <w:pStyle w:val="ListParagraph"/>
        <w:numPr>
          <w:ilvl w:val="0"/>
          <w:numId w:val="4"/>
        </w:numPr>
        <w:spacing w:after="120"/>
        <w:ind w:left="567" w:hanging="567"/>
        <w:contextualSpacing w:val="0"/>
        <w:rPr>
          <w:rFonts w:cs="Arial"/>
          <w:color w:val="000000" w:themeColor="text1"/>
        </w:rPr>
      </w:pPr>
      <w:r w:rsidRPr="00ED6752">
        <w:t xml:space="preserve">80-mer sliding window search – a FASTA alignment was performed comparing all contiguous 80 amino acids within the </w:t>
      </w:r>
      <w:r w:rsidR="00AA3A87">
        <w:t xml:space="preserve">endo-1,4-β-xylanase </w:t>
      </w:r>
      <w:r w:rsidRPr="00ED6752">
        <w:t xml:space="preserve"> sequence to the database entries. Matches were identified if there was greater than 35% homology</w:t>
      </w:r>
      <w:r w:rsidR="002A5368">
        <w:t xml:space="preserve"> (BLOSUM50)</w:t>
      </w:r>
      <w:r w:rsidRPr="00ED6752">
        <w:rPr>
          <w:rFonts w:cs="Arial"/>
          <w:color w:val="000000" w:themeColor="text1"/>
        </w:rPr>
        <w:t xml:space="preserve">. </w:t>
      </w:r>
      <w:r w:rsidR="0075550B" w:rsidRPr="00ED6752">
        <w:rPr>
          <w:rFonts w:cs="Arial"/>
          <w:color w:val="000000" w:themeColor="text1"/>
        </w:rPr>
        <w:t>(Pearson and Lipman, 1988).</w:t>
      </w:r>
    </w:p>
    <w:p w14:paraId="747AB71E" w14:textId="40202D69" w:rsidR="0075550B" w:rsidRPr="002A5368" w:rsidRDefault="00ED6752" w:rsidP="0075550B">
      <w:pPr>
        <w:pStyle w:val="ListParagraph"/>
        <w:numPr>
          <w:ilvl w:val="0"/>
          <w:numId w:val="4"/>
        </w:numPr>
        <w:ind w:left="567" w:hanging="567"/>
        <w:contextualSpacing w:val="0"/>
        <w:rPr>
          <w:rFonts w:cs="Arial"/>
          <w:color w:val="000000" w:themeColor="text1"/>
        </w:rPr>
      </w:pPr>
      <w:r>
        <w:t>6-mer exact match search – A FASTA alignment was performed comparing contiguous 6 amino acids</w:t>
      </w:r>
      <w:r w:rsidRPr="00EB5D13">
        <w:t xml:space="preserve"> </w:t>
      </w:r>
      <w:r>
        <w:t xml:space="preserve">within the </w:t>
      </w:r>
      <w:r w:rsidR="00AA3A87">
        <w:t xml:space="preserve">endo-1,4-β-xylanase </w:t>
      </w:r>
      <w:r>
        <w:t xml:space="preserve"> sequence to the database entries (FAO, 2001). Matches were identified if there was 100% homology.</w:t>
      </w:r>
    </w:p>
    <w:p w14:paraId="0CAFE241" w14:textId="5FDC5ADD" w:rsidR="002A5368" w:rsidRDefault="002A5368" w:rsidP="002A5368"/>
    <w:p w14:paraId="73E2D398" w14:textId="649B12B6" w:rsidR="002A5368" w:rsidRDefault="002A5368" w:rsidP="002A5368">
      <w:r>
        <w:t xml:space="preserve">No homology was found between the </w:t>
      </w:r>
      <w:r w:rsidR="00AA3A87">
        <w:t>endo-1,4-β-</w:t>
      </w:r>
      <w:r w:rsidR="0018785E">
        <w:t>xylanase protein</w:t>
      </w:r>
      <w:r>
        <w:t xml:space="preserve"> sequence and any known allergenic proteins.</w:t>
      </w:r>
    </w:p>
    <w:p w14:paraId="6BD076B4" w14:textId="7500645C" w:rsidR="00FE2538" w:rsidRDefault="00FE2538" w:rsidP="002A5368">
      <w:pPr>
        <w:rPr>
          <w:rFonts w:cs="Arial"/>
          <w:color w:val="000000" w:themeColor="text1"/>
        </w:rPr>
      </w:pPr>
    </w:p>
    <w:p w14:paraId="2B171AA1" w14:textId="13D7F702" w:rsidR="00FE2538" w:rsidRPr="002A5368" w:rsidRDefault="00FE2538" w:rsidP="002A5368">
      <w:pPr>
        <w:rPr>
          <w:rFonts w:cs="Arial"/>
          <w:color w:val="000000" w:themeColor="text1"/>
        </w:rPr>
      </w:pPr>
      <w:r>
        <w:rPr>
          <w:rFonts w:cs="Arial"/>
          <w:color w:val="000000" w:themeColor="text1"/>
        </w:rPr>
        <w:t xml:space="preserve">A potential allergen in the fermentation medium is wheat derived product, however the applicant has indicated that this material will be consumed in the fermentation process, and will be absent in the final product. However, the powder form of the </w:t>
      </w:r>
      <w:r>
        <w:t>e</w:t>
      </w:r>
      <w:r w:rsidRPr="00EE61E1">
        <w:t xml:space="preserve">ndo-1,4-β-xylanase enzyme </w:t>
      </w:r>
      <w:r>
        <w:t xml:space="preserve">preparation includes wheat as an ingredient. </w:t>
      </w:r>
    </w:p>
    <w:p w14:paraId="1E813737" w14:textId="0AA1D5B1" w:rsidR="0075550B" w:rsidRDefault="0075550B" w:rsidP="00BF6E0D">
      <w:pPr>
        <w:pStyle w:val="Heading4"/>
      </w:pPr>
      <w:bookmarkStart w:id="52" w:name="_Toc471740089"/>
      <w:bookmarkStart w:id="53" w:name="_Toc498940977"/>
      <w:bookmarkStart w:id="54" w:name="_Toc499282450"/>
      <w:r w:rsidRPr="00DD6B6A">
        <w:t>3.</w:t>
      </w:r>
      <w:r w:rsidR="00953013">
        <w:t>4</w:t>
      </w:r>
      <w:r w:rsidRPr="00DD6B6A">
        <w:t>.</w:t>
      </w:r>
      <w:r w:rsidR="00086E28">
        <w:t>2</w:t>
      </w:r>
      <w:r w:rsidRPr="00DD6B6A">
        <w:tab/>
        <w:t xml:space="preserve">Bioinformatic analysis for potential </w:t>
      </w:r>
      <w:r>
        <w:t>toxicity</w:t>
      </w:r>
      <w:bookmarkEnd w:id="52"/>
      <w:bookmarkEnd w:id="53"/>
      <w:bookmarkEnd w:id="54"/>
      <w:r w:rsidRPr="00DD6B6A">
        <w:t xml:space="preserve"> </w:t>
      </w:r>
    </w:p>
    <w:p w14:paraId="62F12302" w14:textId="649C2474" w:rsidR="00BD0C41" w:rsidRDefault="00BD0C41" w:rsidP="00067389">
      <w:bookmarkStart w:id="55" w:name="_Toc471740090"/>
      <w:r>
        <w:rPr>
          <w:lang w:bidi="ar-SA"/>
        </w:rPr>
        <w:t xml:space="preserve">The Applicant provided results from </w:t>
      </w:r>
      <w:r w:rsidRPr="00EB5D13">
        <w:rPr>
          <w:i/>
          <w:lang w:bidi="ar-SA"/>
        </w:rPr>
        <w:t>in silico</w:t>
      </w:r>
      <w:r w:rsidRPr="00F04AB9">
        <w:rPr>
          <w:lang w:bidi="ar-SA"/>
        </w:rPr>
        <w:t xml:space="preserve"> </w:t>
      </w:r>
      <w:r>
        <w:rPr>
          <w:lang w:bidi="ar-SA"/>
        </w:rPr>
        <w:t xml:space="preserve">analyses comparing the amino acid sequence for the modified </w:t>
      </w:r>
      <w:r w:rsidR="00AA3A87">
        <w:rPr>
          <w:lang w:bidi="ar-SA"/>
        </w:rPr>
        <w:t>endo-1,4-β-</w:t>
      </w:r>
      <w:r w:rsidR="0018785E">
        <w:rPr>
          <w:lang w:bidi="ar-SA"/>
        </w:rPr>
        <w:t>xylanase protein</w:t>
      </w:r>
      <w:r>
        <w:rPr>
          <w:lang w:bidi="ar-SA"/>
        </w:rPr>
        <w:t xml:space="preserve"> to</w:t>
      </w:r>
      <w:r w:rsidRPr="00F01809">
        <w:rPr>
          <w:lang w:bidi="ar-SA"/>
        </w:rPr>
        <w:t xml:space="preserve"> </w:t>
      </w:r>
      <w:r>
        <w:rPr>
          <w:lang w:bidi="ar-SA"/>
        </w:rPr>
        <w:t>known</w:t>
      </w:r>
      <w:r w:rsidRPr="00F01809">
        <w:rPr>
          <w:lang w:bidi="ar-SA"/>
        </w:rPr>
        <w:t xml:space="preserve"> </w:t>
      </w:r>
      <w:r>
        <w:rPr>
          <w:lang w:bidi="ar-SA"/>
        </w:rPr>
        <w:t xml:space="preserve">protein toxins identified in the NCBI protein database. </w:t>
      </w:r>
      <w:r w:rsidR="00B129F3">
        <w:rPr>
          <w:lang w:bidi="ar-SA"/>
        </w:rPr>
        <w:t xml:space="preserve">No homology was found between the modified </w:t>
      </w:r>
      <w:r w:rsidR="00AA3A87">
        <w:rPr>
          <w:lang w:bidi="ar-SA"/>
        </w:rPr>
        <w:t>endo-1,4-β-</w:t>
      </w:r>
      <w:r w:rsidR="0018785E">
        <w:rPr>
          <w:lang w:bidi="ar-SA"/>
        </w:rPr>
        <w:t>xylanase protein</w:t>
      </w:r>
      <w:r w:rsidR="00B129F3">
        <w:rPr>
          <w:lang w:bidi="ar-SA"/>
        </w:rPr>
        <w:t xml:space="preserve"> and known </w:t>
      </w:r>
      <w:r w:rsidR="00067389">
        <w:rPr>
          <w:lang w:bidi="ar-SA"/>
        </w:rPr>
        <w:t>toxins.</w:t>
      </w:r>
    </w:p>
    <w:p w14:paraId="17B31A47" w14:textId="11EFFAE8" w:rsidR="0075550B" w:rsidRPr="00DD6B6A" w:rsidRDefault="00935042" w:rsidP="00BF6E0D">
      <w:pPr>
        <w:pStyle w:val="Heading4"/>
      </w:pPr>
      <w:r w:rsidRPr="00DD6B6A">
        <w:t xml:space="preserve"> </w:t>
      </w:r>
      <w:bookmarkStart w:id="56" w:name="_Toc498940978"/>
      <w:bookmarkStart w:id="57" w:name="_Toc499282451"/>
      <w:r w:rsidR="0075550B" w:rsidRPr="00DD6B6A">
        <w:t>3.</w:t>
      </w:r>
      <w:r w:rsidR="00953013">
        <w:t>4</w:t>
      </w:r>
      <w:r w:rsidR="0075550B" w:rsidRPr="00DD6B6A">
        <w:t>.</w:t>
      </w:r>
      <w:r w:rsidR="00086E28">
        <w:t>3</w:t>
      </w:r>
      <w:r w:rsidR="0075550B" w:rsidRPr="00DD6B6A">
        <w:tab/>
      </w:r>
      <w:r w:rsidR="00953013">
        <w:t xml:space="preserve">Susceptibility of </w:t>
      </w:r>
      <w:r w:rsidR="00AA3A87">
        <w:t xml:space="preserve">endo-1,4-β-xylanase </w:t>
      </w:r>
      <w:r w:rsidR="00953013">
        <w:t xml:space="preserve"> to </w:t>
      </w:r>
      <w:bookmarkEnd w:id="55"/>
      <w:bookmarkEnd w:id="56"/>
      <w:r w:rsidR="008507D7">
        <w:t>digestion</w:t>
      </w:r>
      <w:bookmarkEnd w:id="57"/>
      <w:r w:rsidR="0075550B" w:rsidRPr="00DD6B6A">
        <w:t xml:space="preserve"> </w:t>
      </w:r>
    </w:p>
    <w:p w14:paraId="5C2EAEC8" w14:textId="164AC296" w:rsidR="00E23774" w:rsidRPr="00953013" w:rsidRDefault="0075550B" w:rsidP="0075550B">
      <w:pPr>
        <w:rPr>
          <w:lang w:eastAsia="en-AU" w:bidi="ar-SA"/>
        </w:rPr>
      </w:pPr>
      <w:r w:rsidRPr="00A920F0">
        <w:rPr>
          <w:rFonts w:cs="Arial"/>
          <w:color w:val="000000" w:themeColor="text1"/>
        </w:rPr>
        <w:t xml:space="preserve">To confirm the digestibility of </w:t>
      </w:r>
      <w:r w:rsidR="00AA3A87">
        <w:rPr>
          <w:rFonts w:cs="Arial"/>
          <w:color w:val="000000" w:themeColor="text1"/>
        </w:rPr>
        <w:t>endo-1,4-β-xylanase</w:t>
      </w:r>
      <w:r w:rsidRPr="00A920F0">
        <w:rPr>
          <w:rFonts w:cs="Arial"/>
          <w:color w:val="000000" w:themeColor="text1"/>
        </w:rPr>
        <w:t xml:space="preserve">, potential cleavage sites were investigated by FSANZ using the amino acid sequence of </w:t>
      </w:r>
      <w:r w:rsidR="00EA08D6">
        <w:rPr>
          <w:rFonts w:cs="Arial"/>
          <w:color w:val="000000" w:themeColor="text1"/>
        </w:rPr>
        <w:t xml:space="preserve">the modified </w:t>
      </w:r>
      <w:r w:rsidR="00AA3A87">
        <w:rPr>
          <w:rFonts w:cs="Arial"/>
          <w:color w:val="000000" w:themeColor="text1"/>
        </w:rPr>
        <w:t>endo-1,4-β-</w:t>
      </w:r>
      <w:r w:rsidR="0018785E">
        <w:rPr>
          <w:rFonts w:cs="Arial"/>
          <w:color w:val="000000" w:themeColor="text1"/>
        </w:rPr>
        <w:t xml:space="preserve">xylanase </w:t>
      </w:r>
      <w:r w:rsidR="0018785E" w:rsidRPr="00A920F0">
        <w:rPr>
          <w:rFonts w:cs="Arial"/>
          <w:color w:val="000000" w:themeColor="text1"/>
        </w:rPr>
        <w:t>protein</w:t>
      </w:r>
      <w:r w:rsidR="00EA08D6">
        <w:rPr>
          <w:rFonts w:cs="Arial"/>
          <w:color w:val="000000" w:themeColor="text1"/>
        </w:rPr>
        <w:t xml:space="preserve"> </w:t>
      </w:r>
      <w:r w:rsidRPr="00A920F0">
        <w:rPr>
          <w:rFonts w:cs="Arial"/>
          <w:color w:val="000000" w:themeColor="text1"/>
        </w:rPr>
        <w:t xml:space="preserve">and the </w:t>
      </w:r>
      <w:hyperlink r:id="rId19" w:history="1">
        <w:r w:rsidRPr="00062C85">
          <w:rPr>
            <w:rStyle w:val="Hyperlink"/>
            <w:rFonts w:cs="Arial"/>
          </w:rPr>
          <w:t>PeptideCutter tool</w:t>
        </w:r>
      </w:hyperlink>
      <w:r>
        <w:rPr>
          <w:rStyle w:val="FootnoteReference"/>
          <w:rFonts w:cs="Arial"/>
          <w:color w:val="3333FF"/>
          <w:u w:val="single"/>
        </w:rPr>
        <w:footnoteReference w:id="3"/>
      </w:r>
      <w:r>
        <w:rPr>
          <w:rFonts w:cs="Arial"/>
          <w:color w:val="000000" w:themeColor="text1"/>
        </w:rPr>
        <w:t xml:space="preserve"> in the ExPASy Proteomics Site</w:t>
      </w:r>
      <w:r w:rsidRPr="00A920F0">
        <w:rPr>
          <w:rFonts w:cs="Arial"/>
          <w:color w:val="000000" w:themeColor="text1"/>
        </w:rPr>
        <w:t xml:space="preserve">. </w:t>
      </w:r>
      <w:r w:rsidR="00AA3A87">
        <w:rPr>
          <w:lang w:eastAsia="en-AU" w:bidi="ar-SA"/>
        </w:rPr>
        <w:t>Endo-1,4-β-</w:t>
      </w:r>
      <w:r w:rsidR="0018785E">
        <w:rPr>
          <w:lang w:eastAsia="en-AU" w:bidi="ar-SA"/>
        </w:rPr>
        <w:t xml:space="preserve">xylanase </w:t>
      </w:r>
      <w:r w:rsidR="0018785E" w:rsidRPr="00713875">
        <w:rPr>
          <w:lang w:eastAsia="en-AU" w:bidi="ar-SA"/>
        </w:rPr>
        <w:t>has</w:t>
      </w:r>
      <w:r w:rsidR="00EA08D6" w:rsidRPr="00713875">
        <w:rPr>
          <w:lang w:eastAsia="en-AU" w:bidi="ar-SA"/>
        </w:rPr>
        <w:t xml:space="preserve"> multiple cleavage sites for pepsin (</w:t>
      </w:r>
      <w:r w:rsidR="00EA08D6">
        <w:rPr>
          <w:lang w:eastAsia="en-AU" w:bidi="ar-SA"/>
        </w:rPr>
        <w:t>22</w:t>
      </w:r>
      <w:r w:rsidR="00EA08D6" w:rsidRPr="00713875">
        <w:rPr>
          <w:lang w:eastAsia="en-AU" w:bidi="ar-SA"/>
        </w:rPr>
        <w:t xml:space="preserve"> sites at pH 1.3 and </w:t>
      </w:r>
      <w:r w:rsidR="00EA08D6">
        <w:rPr>
          <w:lang w:eastAsia="en-AU" w:bidi="ar-SA"/>
        </w:rPr>
        <w:t>59</w:t>
      </w:r>
      <w:r w:rsidR="00EA08D6" w:rsidRPr="00713875">
        <w:rPr>
          <w:lang w:eastAsia="en-AU" w:bidi="ar-SA"/>
        </w:rPr>
        <w:t xml:space="preserve"> sites at pH &gt;2), trypsin (</w:t>
      </w:r>
      <w:r w:rsidR="00EA08D6">
        <w:rPr>
          <w:lang w:eastAsia="en-AU" w:bidi="ar-SA"/>
        </w:rPr>
        <w:t>12</w:t>
      </w:r>
      <w:r w:rsidR="00EA08D6" w:rsidRPr="00713875">
        <w:rPr>
          <w:lang w:eastAsia="en-AU" w:bidi="ar-SA"/>
        </w:rPr>
        <w:t xml:space="preserve"> sites), chymotrypsin (</w:t>
      </w:r>
      <w:r w:rsidR="00EA08D6">
        <w:rPr>
          <w:lang w:eastAsia="en-AU" w:bidi="ar-SA"/>
        </w:rPr>
        <w:t>31</w:t>
      </w:r>
      <w:r w:rsidR="00EA08D6" w:rsidRPr="00713875">
        <w:rPr>
          <w:lang w:eastAsia="en-AU" w:bidi="ar-SA"/>
        </w:rPr>
        <w:t xml:space="preserve"> high-specificity sites, </w:t>
      </w:r>
      <w:r w:rsidR="00EA08D6">
        <w:rPr>
          <w:lang w:eastAsia="en-AU" w:bidi="ar-SA"/>
        </w:rPr>
        <w:t>42</w:t>
      </w:r>
      <w:r w:rsidR="00EA08D6" w:rsidRPr="00713875">
        <w:rPr>
          <w:lang w:eastAsia="en-AU" w:bidi="ar-SA"/>
        </w:rPr>
        <w:t xml:space="preserve"> low-specificity sites) and endopeptidases (</w:t>
      </w:r>
      <w:r w:rsidR="00EA08D6">
        <w:rPr>
          <w:lang w:eastAsia="en-AU" w:bidi="ar-SA"/>
        </w:rPr>
        <w:t xml:space="preserve">13 sites). This data shows that the modified </w:t>
      </w:r>
      <w:r w:rsidR="00AA3A87">
        <w:rPr>
          <w:lang w:eastAsia="en-AU" w:bidi="ar-SA"/>
        </w:rPr>
        <w:t>endo-1,4-β-</w:t>
      </w:r>
      <w:r w:rsidR="0018785E">
        <w:rPr>
          <w:lang w:eastAsia="en-AU" w:bidi="ar-SA"/>
        </w:rPr>
        <w:t>xylanase protein</w:t>
      </w:r>
      <w:r w:rsidR="00EA08D6">
        <w:rPr>
          <w:lang w:eastAsia="en-AU" w:bidi="ar-SA"/>
        </w:rPr>
        <w:t xml:space="preserve"> is as susceptible to protein digestion as the vast majority of dietary proteins.</w:t>
      </w:r>
    </w:p>
    <w:p w14:paraId="248116EC" w14:textId="70832BA3" w:rsidR="0075550B" w:rsidRPr="00DD6B6A" w:rsidRDefault="00953013" w:rsidP="00BF6E0D">
      <w:pPr>
        <w:pStyle w:val="Heading4"/>
      </w:pPr>
      <w:bookmarkStart w:id="58" w:name="_Toc498940979"/>
      <w:bookmarkStart w:id="59" w:name="_Toc499282452"/>
      <w:r>
        <w:t>3.4.</w:t>
      </w:r>
      <w:r w:rsidR="00086E28">
        <w:t>4</w:t>
      </w:r>
      <w:r>
        <w:tab/>
      </w:r>
      <w:bookmarkEnd w:id="58"/>
      <w:r w:rsidR="008507D7">
        <w:t>Evaluation of toxicity studies of the enzyme</w:t>
      </w:r>
      <w:bookmarkEnd w:id="59"/>
    </w:p>
    <w:p w14:paraId="2F356788" w14:textId="3F60C4F3" w:rsidR="0075550B" w:rsidRDefault="002F639F" w:rsidP="002F639F">
      <w:bookmarkStart w:id="60" w:name="_Toc465672236"/>
      <w:bookmarkStart w:id="61" w:name="_Toc465855198"/>
      <w:bookmarkStart w:id="62" w:name="_Toc466462371"/>
      <w:bookmarkStart w:id="63" w:name="_Toc466463876"/>
      <w:bookmarkEnd w:id="60"/>
      <w:bookmarkEnd w:id="61"/>
      <w:bookmarkEnd w:id="62"/>
      <w:bookmarkEnd w:id="63"/>
      <w:r>
        <w:t xml:space="preserve">The toxicity studies submitted by the Applicant were </w:t>
      </w:r>
      <w:r w:rsidR="00613766">
        <w:t xml:space="preserve">all </w:t>
      </w:r>
      <w:r>
        <w:t xml:space="preserve">conducted with the same </w:t>
      </w:r>
      <w:r w:rsidR="00AA3A87">
        <w:t>endo-1,4-β-</w:t>
      </w:r>
      <w:r w:rsidR="0018785E">
        <w:t>xylanase preparation</w:t>
      </w:r>
      <w:r>
        <w:t>, test batch No “XT Mix Lims 2003-1463-1”. This is an ultra-filtrated concentrate, which is the most concentrated product before its formulation into a food enzyme preparation.</w:t>
      </w:r>
    </w:p>
    <w:p w14:paraId="483A6B5C" w14:textId="77777777" w:rsidR="002F639F" w:rsidRDefault="002F639F" w:rsidP="00BF6E0D">
      <w:pPr>
        <w:pStyle w:val="Heading5"/>
      </w:pPr>
      <w:r>
        <w:t>Genotoxicity</w:t>
      </w:r>
    </w:p>
    <w:p w14:paraId="043574A1" w14:textId="1DB18507" w:rsidR="002F639F" w:rsidRDefault="002F639F" w:rsidP="002F639F">
      <w:r>
        <w:t xml:space="preserve">Reports of two </w:t>
      </w:r>
      <w:r w:rsidRPr="005645EE">
        <w:rPr>
          <w:i/>
        </w:rPr>
        <w:t>in vitro</w:t>
      </w:r>
      <w:r>
        <w:t xml:space="preserve"> genotoxicity studies have been submitted by the Applicant: a bacterial reverse mutation test (Ames test) and a chromosomal aberration test in mammalian cells. </w:t>
      </w:r>
    </w:p>
    <w:p w14:paraId="4B4853F3" w14:textId="56AF97FE" w:rsidR="002F639F" w:rsidRDefault="002F639F" w:rsidP="007A51F5">
      <w:pPr>
        <w:pStyle w:val="Heading5"/>
      </w:pPr>
      <w:r>
        <w:t xml:space="preserve">Bacterial reverse mutation assay </w:t>
      </w:r>
      <w:r w:rsidR="007A51F5">
        <w:t>– Charles River Laboratories study report no 24411</w:t>
      </w:r>
    </w:p>
    <w:p w14:paraId="2966BFDF" w14:textId="1A1B3675" w:rsidR="007A51F5" w:rsidRDefault="00BA6605" w:rsidP="00BA6605">
      <w:r>
        <w:t xml:space="preserve">The study was conducted in compliance with OECD principles of Good Laboratory Practice (GLP) and in accordance with OECD Test Guideline (TG) 471, the Bacterial Reverse Mutation Test (adopted 21 July 1997). The test item was </w:t>
      </w:r>
      <w:r w:rsidR="00AA3A87">
        <w:t>endo-1,4-β-</w:t>
      </w:r>
      <w:r w:rsidR="0018785E">
        <w:t>xylanase and</w:t>
      </w:r>
      <w:r>
        <w:t xml:space="preserve"> the vehicle was ultra-pure water. </w:t>
      </w:r>
    </w:p>
    <w:p w14:paraId="68EB69EC" w14:textId="1C0A3335" w:rsidR="006576B9" w:rsidRDefault="006576B9" w:rsidP="00BA6605"/>
    <w:p w14:paraId="56576E75" w14:textId="57D07C0E" w:rsidR="006576B9" w:rsidRDefault="006576B9" w:rsidP="006576B9">
      <w:r>
        <w:t xml:space="preserve">Tester strains used in the study were </w:t>
      </w:r>
      <w:r w:rsidRPr="006576B9">
        <w:rPr>
          <w:i/>
        </w:rPr>
        <w:t>Salmonella typhimurium</w:t>
      </w:r>
      <w:r>
        <w:t xml:space="preserve"> TA98, TA100, TA1535 and TA1537 plus </w:t>
      </w:r>
      <w:r w:rsidRPr="003840D1">
        <w:rPr>
          <w:i/>
        </w:rPr>
        <w:t>Escherichia coli</w:t>
      </w:r>
      <w:r>
        <w:t xml:space="preserve"> WP2 </w:t>
      </w:r>
      <w:r w:rsidRPr="00E6355F">
        <w:rPr>
          <w:i/>
        </w:rPr>
        <w:t>uvr</w:t>
      </w:r>
      <w:r w:rsidRPr="005E660D">
        <w:t>A</w:t>
      </w:r>
      <w:r>
        <w:t xml:space="preserve">. The test was conducted by the </w:t>
      </w:r>
      <w:r w:rsidR="00A255F3">
        <w:t xml:space="preserve">‘treat and plate’ </w:t>
      </w:r>
      <w:r>
        <w:t>method in the presence and absence of metabolic activation</w:t>
      </w:r>
      <w:r w:rsidR="00A255F3">
        <w:t xml:space="preserve"> (S9 mix)</w:t>
      </w:r>
      <w:r>
        <w:t>. Based on the results of a dose range-finding test using strain TA100, six concentrations ranging from 17 – 5000</w:t>
      </w:r>
      <w:r w:rsidR="00207D79">
        <w:t> </w:t>
      </w:r>
      <w:r>
        <w:rPr>
          <w:rFonts w:cs="Arial"/>
        </w:rPr>
        <w:t>µ</w:t>
      </w:r>
      <w:r>
        <w:t xml:space="preserve">g </w:t>
      </w:r>
      <w:r w:rsidR="00AA3A87">
        <w:rPr>
          <w:rFonts w:cs="Arial"/>
        </w:rPr>
        <w:t xml:space="preserve">endo-1,4-β-xylanase </w:t>
      </w:r>
      <w:r>
        <w:t xml:space="preserve">/mL were </w:t>
      </w:r>
      <w:r w:rsidR="00A255F3">
        <w:t xml:space="preserve">used in the main test, which was </w:t>
      </w:r>
      <w:r>
        <w:t xml:space="preserve">performed </w:t>
      </w:r>
      <w:r w:rsidR="00A255F3">
        <w:t xml:space="preserve">twice using </w:t>
      </w:r>
      <w:r>
        <w:t xml:space="preserve">triplicate plating. </w:t>
      </w:r>
    </w:p>
    <w:p w14:paraId="3DFC8252" w14:textId="77777777" w:rsidR="006576B9" w:rsidRDefault="006576B9" w:rsidP="006576B9"/>
    <w:p w14:paraId="309E7BBF" w14:textId="7A0DFB7C" w:rsidR="006576B9" w:rsidRDefault="006576B9" w:rsidP="006576B9">
      <w:r>
        <w:t>Criteria for a positive</w:t>
      </w:r>
      <w:r w:rsidR="005E660D">
        <w:t xml:space="preserve"> mutagenic</w:t>
      </w:r>
      <w:r>
        <w:t xml:space="preserve"> response were a two-fold or more increase in the number of revertant colonies compared with the negative control</w:t>
      </w:r>
      <w:r w:rsidR="005E660D">
        <w:t xml:space="preserve"> for </w:t>
      </w:r>
      <w:r w:rsidR="005E660D" w:rsidRPr="005E660D">
        <w:rPr>
          <w:i/>
        </w:rPr>
        <w:t>S. typhimurium</w:t>
      </w:r>
      <w:r w:rsidR="005E660D">
        <w:t xml:space="preserve"> strains TA1535, TA1537 and TA98 as well as for </w:t>
      </w:r>
      <w:r w:rsidR="005E660D" w:rsidRPr="005E660D">
        <w:rPr>
          <w:i/>
        </w:rPr>
        <w:t>E. coli</w:t>
      </w:r>
      <w:r w:rsidR="005E660D">
        <w:t xml:space="preserve"> WP2</w:t>
      </w:r>
      <w:r w:rsidR="005E660D" w:rsidRPr="005E660D">
        <w:rPr>
          <w:i/>
        </w:rPr>
        <w:t>uvr</w:t>
      </w:r>
      <w:r w:rsidR="005E660D">
        <w:t>A</w:t>
      </w:r>
      <w:r>
        <w:t xml:space="preserve">. </w:t>
      </w:r>
      <w:r w:rsidR="005E660D">
        <w:t xml:space="preserve">For </w:t>
      </w:r>
      <w:r w:rsidR="005E660D" w:rsidRPr="00CF72CF">
        <w:rPr>
          <w:i/>
        </w:rPr>
        <w:t>S. typhimurium</w:t>
      </w:r>
      <w:r w:rsidR="005E660D">
        <w:t xml:space="preserve"> strain TA100, a 1.5-fold increase over controls was considered significant. Presence of a dose-response and reproducibility of the effect was also taken into account in determining a positive result. </w:t>
      </w:r>
    </w:p>
    <w:p w14:paraId="0575B80A" w14:textId="398B3B79" w:rsidR="00CF72CF" w:rsidRDefault="00CF72CF" w:rsidP="006576B9"/>
    <w:p w14:paraId="2D757211" w14:textId="3DA4099C" w:rsidR="00CF72CF" w:rsidRDefault="000535A5" w:rsidP="006576B9">
      <w:r>
        <w:t xml:space="preserve">No toxicity was observed </w:t>
      </w:r>
      <w:r w:rsidR="00C96E75">
        <w:t xml:space="preserve">in either the presence or absence of S9 mix </w:t>
      </w:r>
      <w:r>
        <w:t xml:space="preserve">and there was no precipitation of the test item. Initial marginal increases in revertant colony counts with </w:t>
      </w:r>
      <w:r w:rsidRPr="00263679">
        <w:rPr>
          <w:i/>
        </w:rPr>
        <w:t>S. typhimurium</w:t>
      </w:r>
      <w:r>
        <w:t xml:space="preserve"> TA100 and </w:t>
      </w:r>
      <w:r w:rsidRPr="00263679">
        <w:rPr>
          <w:i/>
        </w:rPr>
        <w:t>E. coli</w:t>
      </w:r>
      <w:r>
        <w:t xml:space="preserve"> WP2</w:t>
      </w:r>
      <w:r w:rsidRPr="00263679">
        <w:rPr>
          <w:i/>
        </w:rPr>
        <w:t>uvr</w:t>
      </w:r>
      <w:r>
        <w:t xml:space="preserve">A </w:t>
      </w:r>
      <w:r w:rsidR="00263679">
        <w:t xml:space="preserve">treated with </w:t>
      </w:r>
      <w:r w:rsidR="00AA3A87">
        <w:t xml:space="preserve">endo-1,4-β-xylanase </w:t>
      </w:r>
      <w:r w:rsidR="00263679">
        <w:t xml:space="preserve"> </w:t>
      </w:r>
      <w:r>
        <w:t xml:space="preserve">were not observed upon retesting, and were therefore considered artefacts. </w:t>
      </w:r>
      <w:r w:rsidR="00263679">
        <w:t xml:space="preserve">No other evidence of mutagenic activity was observed in any of the test strains in either the presence or absence of S9 mix. Mutagenic responses with the concurrent positive controls demonstrated the validity of the test system. </w:t>
      </w:r>
    </w:p>
    <w:p w14:paraId="3E146F90" w14:textId="59050E78" w:rsidR="0026147E" w:rsidRDefault="0026147E" w:rsidP="006576B9"/>
    <w:p w14:paraId="320904AF" w14:textId="0CA6EE55" w:rsidR="0026147E" w:rsidRDefault="00AA3A87" w:rsidP="006576B9">
      <w:r>
        <w:t>Endo-1,4-β-</w:t>
      </w:r>
      <w:r w:rsidR="0018785E">
        <w:t>xylanase was</w:t>
      </w:r>
      <w:r w:rsidR="0026147E">
        <w:t xml:space="preserve"> not mutagenic under the conditions of this study. </w:t>
      </w:r>
    </w:p>
    <w:p w14:paraId="19E72E6A" w14:textId="2427A673" w:rsidR="007A51F5" w:rsidRDefault="009011EB" w:rsidP="009011EB">
      <w:pPr>
        <w:pStyle w:val="Heading5"/>
      </w:pPr>
      <w:r>
        <w:t>Chromosomal aberration assay in mammalian cells – Inveresk study report no 24406</w:t>
      </w:r>
    </w:p>
    <w:p w14:paraId="6099851A" w14:textId="759C12C9" w:rsidR="00BD0C41" w:rsidRDefault="00D84597" w:rsidP="0075550B">
      <w:r>
        <w:t xml:space="preserve">The study was conducted in compliance with OECD principles of GLP and with OECD TG 473, the </w:t>
      </w:r>
      <w:r w:rsidRPr="003E752A">
        <w:rPr>
          <w:i/>
        </w:rPr>
        <w:t>In Vitro</w:t>
      </w:r>
      <w:r>
        <w:t xml:space="preserve"> Chromosomal Aberration Test. The test item was </w:t>
      </w:r>
      <w:r w:rsidR="00AA3A87">
        <w:t>endo-1,4-β-</w:t>
      </w:r>
      <w:r w:rsidR="0018785E">
        <w:t>xylanase and</w:t>
      </w:r>
      <w:r>
        <w:t xml:space="preserve"> the </w:t>
      </w:r>
      <w:r w:rsidR="00171566">
        <w:t xml:space="preserve">vehicle was Ham’s F-10 medium. </w:t>
      </w:r>
    </w:p>
    <w:p w14:paraId="5D8570A7" w14:textId="2692E015" w:rsidR="00171566" w:rsidRDefault="00171566" w:rsidP="00D84597"/>
    <w:p w14:paraId="57737E64" w14:textId="28F2A5EC" w:rsidR="005D1A08" w:rsidRDefault="005D1A08" w:rsidP="005D1A08">
      <w:pPr>
        <w:rPr>
          <w:lang w:eastAsia="en-AU" w:bidi="ar-SA"/>
        </w:rPr>
      </w:pPr>
      <w:r>
        <w:rPr>
          <w:lang w:eastAsia="en-AU" w:bidi="ar-SA"/>
        </w:rPr>
        <w:t>The test material was examined for its potential to induce chromosomal aberrations in</w:t>
      </w:r>
      <w:r w:rsidRPr="00950A4E">
        <w:t xml:space="preserve"> </w:t>
      </w:r>
      <w:r w:rsidRPr="00950A4E">
        <w:rPr>
          <w:lang w:eastAsia="en-AU" w:bidi="ar-SA"/>
        </w:rPr>
        <w:t xml:space="preserve">Chinese hamster </w:t>
      </w:r>
      <w:r>
        <w:rPr>
          <w:lang w:eastAsia="en-AU" w:bidi="ar-SA"/>
        </w:rPr>
        <w:t>ovary (CHO)</w:t>
      </w:r>
      <w:r w:rsidRPr="00950A4E">
        <w:rPr>
          <w:lang w:eastAsia="en-AU" w:bidi="ar-SA"/>
        </w:rPr>
        <w:t xml:space="preserve"> cells</w:t>
      </w:r>
      <w:r>
        <w:rPr>
          <w:lang w:eastAsia="en-AU" w:bidi="ar-SA"/>
        </w:rPr>
        <w:t xml:space="preserve"> in both the absence and presence of metabolic activation (S9 mix). Both short-term (6 </w:t>
      </w:r>
      <w:r w:rsidR="0018785E">
        <w:rPr>
          <w:lang w:eastAsia="en-AU" w:bidi="ar-SA"/>
        </w:rPr>
        <w:t>hour’s</w:t>
      </w:r>
      <w:r>
        <w:rPr>
          <w:lang w:eastAsia="en-AU" w:bidi="ar-SA"/>
        </w:rPr>
        <w:t xml:space="preserve"> exposure) and continuous </w:t>
      </w:r>
      <w:r w:rsidR="005324B7">
        <w:rPr>
          <w:lang w:eastAsia="en-AU" w:bidi="ar-SA"/>
        </w:rPr>
        <w:t xml:space="preserve">(22 hours) </w:t>
      </w:r>
      <w:r>
        <w:rPr>
          <w:lang w:eastAsia="en-AU" w:bidi="ar-SA"/>
        </w:rPr>
        <w:t xml:space="preserve">exposure assays were conducted. Cultures in the short-term assay were harvested at 24 h post treatment for all tests, while cultures in the continuous exposure assay </w:t>
      </w:r>
      <w:r w:rsidR="00A346E7">
        <w:rPr>
          <w:lang w:eastAsia="en-AU" w:bidi="ar-SA"/>
        </w:rPr>
        <w:t>were harvested at 24 and 48 h post treatment.</w:t>
      </w:r>
      <w:r w:rsidR="00A346E7" w:rsidRPr="00A346E7">
        <w:rPr>
          <w:lang w:eastAsia="en-AU" w:bidi="ar-SA"/>
        </w:rPr>
        <w:t xml:space="preserve"> </w:t>
      </w:r>
      <w:r w:rsidR="00A346E7">
        <w:rPr>
          <w:lang w:eastAsia="en-AU" w:bidi="ar-SA"/>
        </w:rPr>
        <w:t xml:space="preserve">Colcemid® was added to cultures approximately 2 h before cells were harvested. </w:t>
      </w:r>
      <w:r>
        <w:rPr>
          <w:lang w:eastAsia="en-AU" w:bidi="ar-SA"/>
        </w:rPr>
        <w:t xml:space="preserve">Short-term treatment was conducted in </w:t>
      </w:r>
      <w:r w:rsidR="00A346E7">
        <w:rPr>
          <w:lang w:eastAsia="en-AU" w:bidi="ar-SA"/>
        </w:rPr>
        <w:t>t</w:t>
      </w:r>
      <w:r>
        <w:rPr>
          <w:lang w:eastAsia="en-AU" w:bidi="ar-SA"/>
        </w:rPr>
        <w:t>he presence and absence of metabolic activation, while the continuous exposure assay was conducted only in the absence of metabolic activation. The positive control substances were methyl methane-sulphonate (MMS) in the absence of S9 and cyclophosphamide in the presence of S9.</w:t>
      </w:r>
    </w:p>
    <w:p w14:paraId="458A128A" w14:textId="40948A67" w:rsidR="00A346E7" w:rsidRDefault="00A346E7" w:rsidP="005D1A08">
      <w:pPr>
        <w:rPr>
          <w:lang w:eastAsia="en-AU" w:bidi="ar-SA"/>
        </w:rPr>
      </w:pPr>
    </w:p>
    <w:p w14:paraId="1D8E79A5" w14:textId="24DF40E5" w:rsidR="00A346E7" w:rsidRDefault="00AA3A87" w:rsidP="005D1A08">
      <w:pPr>
        <w:rPr>
          <w:lang w:eastAsia="en-AU" w:bidi="ar-SA"/>
        </w:rPr>
      </w:pPr>
      <w:r>
        <w:rPr>
          <w:lang w:eastAsia="en-AU" w:bidi="ar-SA"/>
        </w:rPr>
        <w:t>Endo-1,4-β-</w:t>
      </w:r>
      <w:r w:rsidR="00C121FD">
        <w:rPr>
          <w:lang w:eastAsia="en-AU" w:bidi="ar-SA"/>
        </w:rPr>
        <w:t>xylanase was</w:t>
      </w:r>
      <w:r w:rsidR="00A346E7">
        <w:rPr>
          <w:lang w:eastAsia="en-AU" w:bidi="ar-SA"/>
        </w:rPr>
        <w:t xml:space="preserve"> tested to the maximum recommended concentration of 5000 </w:t>
      </w:r>
      <w:r w:rsidR="00A346E7">
        <w:rPr>
          <w:rFonts w:cs="Arial"/>
          <w:lang w:eastAsia="en-AU" w:bidi="ar-SA"/>
        </w:rPr>
        <w:t>µ</w:t>
      </w:r>
      <w:r w:rsidR="00A346E7">
        <w:rPr>
          <w:lang w:eastAsia="en-AU" w:bidi="ar-SA"/>
        </w:rPr>
        <w:t xml:space="preserve">g/mL in both the short-term and continuous </w:t>
      </w:r>
      <w:r w:rsidR="005324B7">
        <w:rPr>
          <w:lang w:eastAsia="en-AU" w:bidi="ar-SA"/>
        </w:rPr>
        <w:t xml:space="preserve">exposure </w:t>
      </w:r>
      <w:r w:rsidR="00A346E7">
        <w:rPr>
          <w:lang w:eastAsia="en-AU" w:bidi="ar-SA"/>
        </w:rPr>
        <w:t xml:space="preserve">tests. Toxicity was noted in cultures harvested at 48 h post treatment at doses </w:t>
      </w:r>
      <w:r w:rsidR="00A346E7">
        <w:rPr>
          <w:rFonts w:cs="Arial"/>
          <w:lang w:eastAsia="en-AU" w:bidi="ar-SA"/>
        </w:rPr>
        <w:t>≥</w:t>
      </w:r>
      <w:r w:rsidR="00A346E7">
        <w:rPr>
          <w:lang w:eastAsia="en-AU" w:bidi="ar-SA"/>
        </w:rPr>
        <w:t xml:space="preserve"> 1250 </w:t>
      </w:r>
      <w:r w:rsidR="00A346E7">
        <w:rPr>
          <w:rFonts w:cs="Arial"/>
          <w:lang w:eastAsia="en-AU" w:bidi="ar-SA"/>
        </w:rPr>
        <w:t>µ</w:t>
      </w:r>
      <w:r w:rsidR="00A346E7">
        <w:rPr>
          <w:lang w:eastAsia="en-AU" w:bidi="ar-SA"/>
        </w:rPr>
        <w:t xml:space="preserve">g/mL. For cultures harvested at 24 h post treatment, the highest dose level assessed for chromosomal aberrations was 5000 </w:t>
      </w:r>
      <w:r w:rsidR="00A346E7">
        <w:rPr>
          <w:rFonts w:cs="Arial"/>
          <w:lang w:eastAsia="en-AU" w:bidi="ar-SA"/>
        </w:rPr>
        <w:t>µ</w:t>
      </w:r>
      <w:r w:rsidR="00A346E7">
        <w:rPr>
          <w:lang w:eastAsia="en-AU" w:bidi="ar-SA"/>
        </w:rPr>
        <w:t xml:space="preserve">g/mL, while the maximum dose assessed for chromosomal aberrations in cultures harvested 48 h post treatment was 2500 </w:t>
      </w:r>
      <w:r w:rsidR="00A346E7">
        <w:rPr>
          <w:rFonts w:cs="Arial"/>
          <w:lang w:eastAsia="en-AU" w:bidi="ar-SA"/>
        </w:rPr>
        <w:t>µ</w:t>
      </w:r>
      <w:r w:rsidR="00A346E7">
        <w:rPr>
          <w:lang w:eastAsia="en-AU" w:bidi="ar-SA"/>
        </w:rPr>
        <w:t xml:space="preserve">g/mL. </w:t>
      </w:r>
    </w:p>
    <w:p w14:paraId="6BAB5965" w14:textId="77777777" w:rsidR="00171566" w:rsidRDefault="00171566" w:rsidP="00D84597"/>
    <w:p w14:paraId="319E8246" w14:textId="38EE9D0B" w:rsidR="009011EB" w:rsidRDefault="00460400" w:rsidP="0075550B">
      <w:r>
        <w:t xml:space="preserve">Cultures treated with </w:t>
      </w:r>
      <w:r w:rsidR="00AA3A87">
        <w:t xml:space="preserve">endo-1,4-β-xylanase </w:t>
      </w:r>
      <w:r>
        <w:t xml:space="preserve"> did not show an increased incidence of structural chromosomal aberrations compared with concurrent and historical negative control cultures. </w:t>
      </w:r>
      <w:r w:rsidR="006B55D2">
        <w:t xml:space="preserve">Continuous exposure </w:t>
      </w:r>
      <w:r>
        <w:t xml:space="preserve">cultures harvested at 48 h following </w:t>
      </w:r>
      <w:r w:rsidR="00AA3A87">
        <w:t xml:space="preserve">endo-1,4-β-xylanase </w:t>
      </w:r>
      <w:r w:rsidR="00C96E75">
        <w:t xml:space="preserve"> </w:t>
      </w:r>
      <w:r>
        <w:t>treatment</w:t>
      </w:r>
      <w:r w:rsidR="006B55D2">
        <w:t xml:space="preserve"> were also assessed for polyploidy. N</w:t>
      </w:r>
      <w:r>
        <w:t>o increases in the incidence of num</w:t>
      </w:r>
      <w:r w:rsidR="006B55D2">
        <w:t>erical chromosomal aberrations were observed.</w:t>
      </w:r>
    </w:p>
    <w:p w14:paraId="0E4DCC36" w14:textId="1C98EE99" w:rsidR="006B55D2" w:rsidRDefault="006B55D2" w:rsidP="0075550B"/>
    <w:p w14:paraId="10EB76A2" w14:textId="77777777" w:rsidR="006B55D2" w:rsidRDefault="006B55D2" w:rsidP="006B55D2">
      <w:r>
        <w:t xml:space="preserve">Significant increases in the incidence of cells with structural chromosomal aberrations were observed in the positive controls compared with negative controls, demonstrating the validity of the test system. </w:t>
      </w:r>
    </w:p>
    <w:p w14:paraId="320614F6" w14:textId="5A472CD0" w:rsidR="006B55D2" w:rsidRDefault="006B55D2" w:rsidP="0075550B"/>
    <w:p w14:paraId="580B766E" w14:textId="3FCCFB3D" w:rsidR="0011094D" w:rsidRDefault="00AA3A87" w:rsidP="0075550B">
      <w:r>
        <w:t xml:space="preserve">Endo-1,4-β-xylanase </w:t>
      </w:r>
      <w:r w:rsidR="006B55D2">
        <w:t xml:space="preserve"> did not induce structural chromosomal aberrations under the conditions of this study.</w:t>
      </w:r>
    </w:p>
    <w:p w14:paraId="3B2D5980" w14:textId="7BF5738D" w:rsidR="0011094D" w:rsidRDefault="0011094D" w:rsidP="00BF6E0D">
      <w:pPr>
        <w:pStyle w:val="Heading5"/>
      </w:pPr>
      <w:r>
        <w:t>Animal studies</w:t>
      </w:r>
    </w:p>
    <w:p w14:paraId="29B58F5A" w14:textId="77777777" w:rsidR="0011094D" w:rsidRDefault="0011094D" w:rsidP="0011094D">
      <w:pPr>
        <w:pStyle w:val="Heading5"/>
      </w:pPr>
      <w:r>
        <w:t>13-week repeated dose oral toxicity study in rats – Inveresk report no 24445</w:t>
      </w:r>
    </w:p>
    <w:p w14:paraId="21D5E76C" w14:textId="7DFBDE17" w:rsidR="0039487B" w:rsidRDefault="00D100B3" w:rsidP="00D100B3">
      <w:pPr>
        <w:spacing w:before="120" w:after="120"/>
        <w:ind w:right="139"/>
        <w:jc w:val="both"/>
      </w:pPr>
      <w:r>
        <w:t>The study was performed in compliance with OECD principles of Good Laboratory Practice, and following OECD TG 408, Repeated dose 90-day oral toxicity study in rodents.</w:t>
      </w:r>
    </w:p>
    <w:p w14:paraId="56638B3F" w14:textId="6B01CD8B" w:rsidR="00613766" w:rsidRDefault="0039487B" w:rsidP="00D100B3">
      <w:pPr>
        <w:spacing w:before="120" w:after="120"/>
        <w:ind w:right="139"/>
        <w:jc w:val="both"/>
        <w:rPr>
          <w:lang w:eastAsia="en-AU" w:bidi="ar-SA"/>
        </w:rPr>
      </w:pPr>
      <w:r>
        <w:t xml:space="preserve">Sprague-Dawley (Crl:CD®(SD IGS BR) rats </w:t>
      </w:r>
      <w:r w:rsidR="00D100B3">
        <w:t xml:space="preserve"> </w:t>
      </w:r>
      <w:r>
        <w:t xml:space="preserve">(10/sex/group) were acclimatised for 13 days prior to commencement of dosing, at which time they were approximately 7 </w:t>
      </w:r>
      <w:r w:rsidR="00A46915">
        <w:t>weeks</w:t>
      </w:r>
      <w:r>
        <w:t xml:space="preserve"> old. Animals were housed singly </w:t>
      </w:r>
      <w:r>
        <w:rPr>
          <w:lang w:eastAsia="en-AU" w:bidi="ar-SA"/>
        </w:rPr>
        <w:t xml:space="preserve">with </w:t>
      </w:r>
      <w:r w:rsidRPr="00767DD7">
        <w:rPr>
          <w:i/>
          <w:lang w:eastAsia="en-AU" w:bidi="ar-SA"/>
        </w:rPr>
        <w:t>ad libitum</w:t>
      </w:r>
      <w:r>
        <w:rPr>
          <w:lang w:eastAsia="en-AU" w:bidi="ar-SA"/>
        </w:rPr>
        <w:t xml:space="preserve"> access to food and water, and maintained under standard laboratory husbandry conditions. </w:t>
      </w:r>
    </w:p>
    <w:p w14:paraId="027E4283" w14:textId="47540CE0" w:rsidR="0039487B" w:rsidRDefault="00AA3A87" w:rsidP="00D100B3">
      <w:pPr>
        <w:spacing w:before="120" w:after="120"/>
        <w:ind w:right="139"/>
        <w:jc w:val="both"/>
        <w:rPr>
          <w:lang w:eastAsia="en-AU" w:bidi="ar-SA"/>
        </w:rPr>
      </w:pPr>
      <w:r>
        <w:rPr>
          <w:lang w:eastAsia="en-AU" w:bidi="ar-SA"/>
        </w:rPr>
        <w:t xml:space="preserve">Endo-1,4-β-xylanase </w:t>
      </w:r>
      <w:r w:rsidR="0039487B">
        <w:rPr>
          <w:lang w:eastAsia="en-AU" w:bidi="ar-SA"/>
        </w:rPr>
        <w:t xml:space="preserve"> was administered by oral gavage at doses of 0, 250, 500 and 1000 mg/kg bw/day for 13 weeks. The vehicle and negative control was sterile water. Clinical signs and body weights were recorded daily</w:t>
      </w:r>
      <w:r w:rsidR="00742E5E">
        <w:rPr>
          <w:lang w:eastAsia="en-AU" w:bidi="ar-SA"/>
        </w:rPr>
        <w:t>, and food and water consumption was assessed weekly. Detailed functional observations were performed weekly, with additional detailed functional observations such as grip strength, pain perception, landing</w:t>
      </w:r>
      <w:r w:rsidR="00046E3F">
        <w:rPr>
          <w:lang w:eastAsia="en-AU" w:bidi="ar-SA"/>
        </w:rPr>
        <w:t xml:space="preserve"> foot splay and motor activity</w:t>
      </w:r>
      <w:r w:rsidR="00207D79">
        <w:rPr>
          <w:lang w:eastAsia="en-AU" w:bidi="ar-SA"/>
        </w:rPr>
        <w:t xml:space="preserve"> </w:t>
      </w:r>
      <w:r w:rsidR="00742E5E">
        <w:rPr>
          <w:lang w:eastAsia="en-AU" w:bidi="ar-SA"/>
        </w:rPr>
        <w:t xml:space="preserve">performed pre-trial and during Week 12 of treatment. </w:t>
      </w:r>
      <w:r w:rsidR="0013209D">
        <w:rPr>
          <w:lang w:eastAsia="en-AU" w:bidi="ar-SA"/>
        </w:rPr>
        <w:t xml:space="preserve">Ophthalmoscopic assessments were undertaken on all animals pre-trial and on controls and high dose animals during Week 12. Urine and blood samples were collected during Week 13. After 13 weeks of treatment all surviving animals were killed and necropsied. Tissues from all control and high dose animals, as well as animals found dead or killed prematurely, were examined histologically. </w:t>
      </w:r>
    </w:p>
    <w:p w14:paraId="7A0E459B" w14:textId="2507765E" w:rsidR="0013209D" w:rsidRDefault="009F14F0" w:rsidP="00D100B3">
      <w:pPr>
        <w:spacing w:before="120" w:after="120"/>
        <w:ind w:right="139"/>
        <w:jc w:val="both"/>
        <w:rPr>
          <w:lang w:eastAsia="en-AU" w:bidi="ar-SA"/>
        </w:rPr>
      </w:pPr>
      <w:r>
        <w:rPr>
          <w:lang w:eastAsia="en-AU" w:bidi="ar-SA"/>
        </w:rPr>
        <w:t xml:space="preserve">There were two premature deaths during the course of the study. A female rat in the 250 mg/kg bw/day dose group was found dead on Day 74, and a male in the 500 mg/kg bw/day dose group was killed on Day 90. Both of these animals exhibited histological lesions consistent with </w:t>
      </w:r>
      <w:r w:rsidR="00E729B3">
        <w:rPr>
          <w:lang w:eastAsia="en-AU" w:bidi="ar-SA"/>
        </w:rPr>
        <w:t>incorrect dosing</w:t>
      </w:r>
      <w:r>
        <w:rPr>
          <w:lang w:eastAsia="en-AU" w:bidi="ar-SA"/>
        </w:rPr>
        <w:t xml:space="preserve"> and these deaths were not attributed to treatment with </w:t>
      </w:r>
      <w:r w:rsidR="00AA3A87">
        <w:rPr>
          <w:lang w:eastAsia="en-AU" w:bidi="ar-SA"/>
        </w:rPr>
        <w:t xml:space="preserve">endo-1,4-β-xylanase </w:t>
      </w:r>
      <w:r>
        <w:rPr>
          <w:lang w:eastAsia="en-AU" w:bidi="ar-SA"/>
        </w:rPr>
        <w:t xml:space="preserve">. All other animals </w:t>
      </w:r>
      <w:r w:rsidR="00A46915">
        <w:rPr>
          <w:lang w:eastAsia="en-AU" w:bidi="ar-SA"/>
        </w:rPr>
        <w:t xml:space="preserve">survived to the end of the study. </w:t>
      </w:r>
    </w:p>
    <w:p w14:paraId="097E6B19" w14:textId="77777777" w:rsidR="002F6A53" w:rsidRDefault="002F6A53">
      <w:pPr>
        <w:widowControl/>
        <w:rPr>
          <w:lang w:eastAsia="en-AU" w:bidi="ar-SA"/>
        </w:rPr>
      </w:pPr>
      <w:r>
        <w:rPr>
          <w:lang w:eastAsia="en-AU" w:bidi="ar-SA"/>
        </w:rPr>
        <w:br w:type="page"/>
      </w:r>
    </w:p>
    <w:p w14:paraId="30E9C76F" w14:textId="78DB2098" w:rsidR="0013209D" w:rsidRDefault="009F14F0" w:rsidP="00D100B3">
      <w:pPr>
        <w:spacing w:before="120" w:after="120"/>
        <w:ind w:right="139"/>
        <w:jc w:val="both"/>
        <w:rPr>
          <w:lang w:eastAsia="en-AU" w:bidi="ar-SA"/>
        </w:rPr>
      </w:pPr>
      <w:r w:rsidRPr="009F14F0">
        <w:rPr>
          <w:lang w:eastAsia="en-AU" w:bidi="ar-SA"/>
        </w:rPr>
        <w:t>Sof</w:t>
      </w:r>
      <w:r>
        <w:rPr>
          <w:lang w:eastAsia="en-AU" w:bidi="ar-SA"/>
        </w:rPr>
        <w:t>ter than normal faeces were noted in all treated male groups, and to a lesser extent in females administered 500 or 1000 mg/kg b</w:t>
      </w:r>
      <w:r w:rsidR="00BA6CAF">
        <w:rPr>
          <w:lang w:eastAsia="en-AU" w:bidi="ar-SA"/>
        </w:rPr>
        <w:t xml:space="preserve">w/day, from the beginning of treatment to approximately Week 8. By Week 12 only isolated incidences of softer than normal faeces were observed in males administered 500 and 1000 mg/kg bw/day. </w:t>
      </w:r>
      <w:r w:rsidR="005E5DE4">
        <w:rPr>
          <w:lang w:eastAsia="en-AU" w:bidi="ar-SA"/>
        </w:rPr>
        <w:t>Slight but not statistically significant reductions in body weight gain were observed in males treated with 500 or 1000 mg/kg bw/day and in all groups of treated females</w:t>
      </w:r>
      <w:r w:rsidR="00327E1F">
        <w:rPr>
          <w:lang w:eastAsia="en-AU" w:bidi="ar-SA"/>
        </w:rPr>
        <w:t xml:space="preserve">. An initial statistically significant reduction in food consumption was seen in all female treatment groups from Days 7 to 14, while males treated with 500 or 1000 mg/kg bw/day had slightly reduced food consumption throughout the treatment period, reaching statistical significance at certain periods. These </w:t>
      </w:r>
      <w:r w:rsidR="00BD602B">
        <w:rPr>
          <w:lang w:eastAsia="en-AU" w:bidi="ar-SA"/>
        </w:rPr>
        <w:t>findings</w:t>
      </w:r>
      <w:r w:rsidR="00327E1F">
        <w:rPr>
          <w:lang w:eastAsia="en-AU" w:bidi="ar-SA"/>
        </w:rPr>
        <w:t xml:space="preserve"> were not considered to be of toxicological significance. </w:t>
      </w:r>
    </w:p>
    <w:p w14:paraId="7FEF8D53" w14:textId="4EC22E06" w:rsidR="00327E1F" w:rsidRDefault="00327E1F" w:rsidP="00D100B3">
      <w:pPr>
        <w:spacing w:before="120" w:after="120"/>
        <w:ind w:right="139"/>
        <w:jc w:val="both"/>
        <w:rPr>
          <w:lang w:eastAsia="en-AU" w:bidi="ar-SA"/>
        </w:rPr>
      </w:pPr>
      <w:r>
        <w:rPr>
          <w:lang w:eastAsia="en-AU" w:bidi="ar-SA"/>
        </w:rPr>
        <w:t>There were no neurotoxic, other in-life, ne</w:t>
      </w:r>
      <w:r w:rsidR="002866DC">
        <w:rPr>
          <w:lang w:eastAsia="en-AU" w:bidi="ar-SA"/>
        </w:rPr>
        <w:t>c</w:t>
      </w:r>
      <w:r>
        <w:rPr>
          <w:lang w:eastAsia="en-AU" w:bidi="ar-SA"/>
        </w:rPr>
        <w:t xml:space="preserve">ropsy or histopathological findings that could be </w:t>
      </w:r>
      <w:r w:rsidR="00BD602B">
        <w:rPr>
          <w:lang w:eastAsia="en-AU" w:bidi="ar-SA"/>
        </w:rPr>
        <w:t>due</w:t>
      </w:r>
      <w:r>
        <w:rPr>
          <w:lang w:eastAsia="en-AU" w:bidi="ar-SA"/>
        </w:rPr>
        <w:t xml:space="preserve"> to treatment with the test item. </w:t>
      </w:r>
    </w:p>
    <w:p w14:paraId="6D19D262" w14:textId="005CF18F" w:rsidR="0075550B" w:rsidRDefault="00327E1F" w:rsidP="00730357">
      <w:pPr>
        <w:spacing w:before="120" w:after="120"/>
        <w:ind w:right="139"/>
        <w:jc w:val="both"/>
      </w:pPr>
      <w:r>
        <w:rPr>
          <w:lang w:eastAsia="en-AU" w:bidi="ar-SA"/>
        </w:rPr>
        <w:t xml:space="preserve">The no observed adverse effect level (NOAEL) for </w:t>
      </w:r>
      <w:r w:rsidR="00AA3A87">
        <w:rPr>
          <w:lang w:eastAsia="en-AU" w:bidi="ar-SA"/>
        </w:rPr>
        <w:t xml:space="preserve">endo-1,4-β-xylanase </w:t>
      </w:r>
      <w:r>
        <w:rPr>
          <w:lang w:eastAsia="en-AU" w:bidi="ar-SA"/>
        </w:rPr>
        <w:t xml:space="preserve"> in this study was 1000 mg/kg bw/day, the highest dose tested. </w:t>
      </w:r>
      <w:r w:rsidR="002C6DC3">
        <w:rPr>
          <w:lang w:eastAsia="en-AU" w:bidi="ar-SA"/>
        </w:rPr>
        <w:t>This corresponds to 940 mg total organic solids (TOS)/kg bw/day</w:t>
      </w:r>
      <w:r w:rsidR="00CC11CA">
        <w:rPr>
          <w:lang w:eastAsia="en-AU" w:bidi="ar-SA"/>
        </w:rPr>
        <w:t>, based on a TOS content of 93.8%</w:t>
      </w:r>
      <w:r w:rsidR="002C6DC3">
        <w:rPr>
          <w:lang w:eastAsia="en-AU" w:bidi="ar-SA"/>
        </w:rPr>
        <w:t xml:space="preserve">. </w:t>
      </w:r>
    </w:p>
    <w:p w14:paraId="7ADDB6F3" w14:textId="05650F8C" w:rsidR="0075550B" w:rsidRPr="003F4D2E" w:rsidRDefault="0075550B" w:rsidP="00D67005">
      <w:pPr>
        <w:pStyle w:val="FSCh3Standard"/>
      </w:pPr>
      <w:bookmarkStart w:id="64" w:name="_Toc471740094"/>
      <w:bookmarkStart w:id="65" w:name="_Toc499282453"/>
      <w:bookmarkStart w:id="66" w:name="_Toc505255642"/>
      <w:r w:rsidRPr="00DD6B6A">
        <w:t>3.5</w:t>
      </w:r>
      <w:r w:rsidR="00D67005">
        <w:t xml:space="preserve"> </w:t>
      </w:r>
      <w:r w:rsidR="006D7D3B">
        <w:t>Safety</w:t>
      </w:r>
      <w:r w:rsidR="006D7D3B" w:rsidRPr="00DD6B6A">
        <w:t xml:space="preserve"> </w:t>
      </w:r>
      <w:r w:rsidR="006D7D3B">
        <w:t>a</w:t>
      </w:r>
      <w:r w:rsidRPr="00DD6B6A">
        <w:t xml:space="preserve">ssessment </w:t>
      </w:r>
      <w:r w:rsidR="006D7D3B">
        <w:t>c</w:t>
      </w:r>
      <w:r w:rsidRPr="00DD6B6A">
        <w:t>onclusions</w:t>
      </w:r>
      <w:bookmarkEnd w:id="64"/>
      <w:bookmarkEnd w:id="65"/>
      <w:bookmarkEnd w:id="66"/>
    </w:p>
    <w:p w14:paraId="57F56A3E" w14:textId="47F0DFD3" w:rsidR="00613766" w:rsidRDefault="00613766" w:rsidP="00613766">
      <w:pPr>
        <w:rPr>
          <w:lang w:eastAsia="en-AU" w:bidi="ar-SA"/>
        </w:rPr>
      </w:pPr>
      <w:r w:rsidRPr="00EE0B89">
        <w:t xml:space="preserve">There are no public health and safety concerns associated with the use of </w:t>
      </w:r>
      <w:r w:rsidR="00AA3A87">
        <w:rPr>
          <w:rFonts w:cs="Arial"/>
        </w:rPr>
        <w:t xml:space="preserve">endo-1,4-β-xylanase </w:t>
      </w:r>
      <w:r w:rsidRPr="00EE0B89">
        <w:t xml:space="preserve"> from </w:t>
      </w:r>
      <w:r w:rsidRPr="00EE0B89">
        <w:rPr>
          <w:i/>
        </w:rPr>
        <w:t>T. reesei</w:t>
      </w:r>
      <w:r w:rsidRPr="00EE0B89">
        <w:t xml:space="preserve"> as a food processing aid, based on the following considerations:</w:t>
      </w:r>
      <w:r>
        <w:t xml:space="preserve"> </w:t>
      </w:r>
    </w:p>
    <w:p w14:paraId="10F169A4" w14:textId="77777777" w:rsidR="00613766" w:rsidRDefault="00613766" w:rsidP="00613766"/>
    <w:p w14:paraId="3DD19C9C" w14:textId="0C9E08F6" w:rsidR="003A16A7" w:rsidRPr="009265D9" w:rsidRDefault="003A16A7" w:rsidP="003A16A7">
      <w:pPr>
        <w:pStyle w:val="FSBullet1"/>
        <w:ind w:left="426" w:hanging="426"/>
      </w:pPr>
      <w:r w:rsidRPr="009265D9">
        <w:t xml:space="preserve">The production organism </w:t>
      </w:r>
      <w:r>
        <w:rPr>
          <w:i/>
        </w:rPr>
        <w:t>T. reesei</w:t>
      </w:r>
      <w:r w:rsidR="005D60E7">
        <w:t xml:space="preserve"> is not toxigenic or</w:t>
      </w:r>
      <w:r w:rsidRPr="009265D9">
        <w:t xml:space="preserve"> pathogenic and is absent in the final enzyme preparation proposed to be used as a food processing aid. Further, </w:t>
      </w:r>
      <w:r>
        <w:rPr>
          <w:i/>
        </w:rPr>
        <w:t>T. reesei</w:t>
      </w:r>
      <w:r>
        <w:t xml:space="preserve"> </w:t>
      </w:r>
      <w:r w:rsidRPr="009265D9">
        <w:t xml:space="preserve">has a </w:t>
      </w:r>
      <w:r w:rsidR="005D60E7">
        <w:t xml:space="preserve">long </w:t>
      </w:r>
      <w:r w:rsidRPr="009265D9">
        <w:t>history of safe use as the production organism for a number of enzyme processing aids that are already permitted in the Code.</w:t>
      </w:r>
    </w:p>
    <w:p w14:paraId="601A1C69" w14:textId="53343199" w:rsidR="00613766" w:rsidRDefault="00AA3A87" w:rsidP="003A16A7">
      <w:pPr>
        <w:pStyle w:val="FSBullet1"/>
        <w:ind w:left="426" w:hanging="426"/>
        <w:rPr>
          <w:lang w:eastAsia="en-AU"/>
        </w:rPr>
      </w:pPr>
      <w:r>
        <w:t xml:space="preserve">Endo-1,4-β-xylanase </w:t>
      </w:r>
      <w:r w:rsidR="00613766">
        <w:t xml:space="preserve">from </w:t>
      </w:r>
      <w:r w:rsidR="00613766">
        <w:rPr>
          <w:i/>
        </w:rPr>
        <w:t>T. reesei</w:t>
      </w:r>
      <w:r w:rsidR="00613766" w:rsidRPr="00016C48">
        <w:rPr>
          <w:lang w:eastAsia="en-AU"/>
        </w:rPr>
        <w:t xml:space="preserve"> </w:t>
      </w:r>
      <w:r w:rsidR="00613766">
        <w:rPr>
          <w:lang w:eastAsia="en-AU"/>
        </w:rPr>
        <w:t xml:space="preserve">was not </w:t>
      </w:r>
      <w:r w:rsidR="00860415">
        <w:rPr>
          <w:lang w:eastAsia="en-AU"/>
        </w:rPr>
        <w:t xml:space="preserve">mutagenic nor </w:t>
      </w:r>
      <w:r w:rsidR="00613766">
        <w:rPr>
          <w:lang w:eastAsia="en-AU"/>
        </w:rPr>
        <w:t xml:space="preserve">genotoxic </w:t>
      </w:r>
      <w:r w:rsidR="00613766" w:rsidRPr="000E223D">
        <w:rPr>
          <w:i/>
          <w:lang w:eastAsia="en-AU"/>
        </w:rPr>
        <w:t>in vitro</w:t>
      </w:r>
      <w:r w:rsidR="00613766" w:rsidRPr="00D45151">
        <w:rPr>
          <w:lang w:eastAsia="en-AU"/>
        </w:rPr>
        <w:t>.</w:t>
      </w:r>
    </w:p>
    <w:p w14:paraId="64C0D11E" w14:textId="502A783F" w:rsidR="00613766" w:rsidRDefault="00613766" w:rsidP="003A16A7">
      <w:pPr>
        <w:pStyle w:val="FSBullet1"/>
        <w:ind w:left="426" w:hanging="426"/>
        <w:rPr>
          <w:lang w:eastAsia="en-AU"/>
        </w:rPr>
      </w:pPr>
      <w:r w:rsidRPr="000E223D">
        <w:rPr>
          <w:rFonts w:eastAsia="Calibri"/>
        </w:rPr>
        <w:t xml:space="preserve">The NOAEL in a 13-week repeated dose oral toxicity study in rats was the highest dose tested and </w:t>
      </w:r>
      <w:r>
        <w:rPr>
          <w:lang w:eastAsia="en-AU"/>
        </w:rPr>
        <w:t xml:space="preserve">corresponds to 1000 mg/kg bw/day or 940 mg TOS/kg bw/day. This is more than </w:t>
      </w:r>
      <w:r w:rsidR="00AA0A88">
        <w:rPr>
          <w:lang w:eastAsia="en-AU"/>
        </w:rPr>
        <w:t>2000</w:t>
      </w:r>
      <w:r>
        <w:rPr>
          <w:lang w:eastAsia="en-AU"/>
        </w:rPr>
        <w:t>-</w:t>
      </w:r>
      <w:r w:rsidRPr="009F51C9">
        <w:rPr>
          <w:lang w:eastAsia="en-AU"/>
        </w:rPr>
        <w:t>fold higher than the Applicant’s estimate of an individual’s theoretical maximal daily intake</w:t>
      </w:r>
      <w:r>
        <w:rPr>
          <w:lang w:eastAsia="en-AU"/>
        </w:rPr>
        <w:t xml:space="preserve"> (</w:t>
      </w:r>
      <w:r w:rsidR="00AA0A88">
        <w:rPr>
          <w:lang w:eastAsia="en-AU"/>
        </w:rPr>
        <w:t>0.41</w:t>
      </w:r>
      <w:r>
        <w:rPr>
          <w:lang w:eastAsia="en-AU"/>
        </w:rPr>
        <w:t xml:space="preserve"> mg TOS/kg bw/day) based on the proposed uses, as stated in the Application.</w:t>
      </w:r>
    </w:p>
    <w:p w14:paraId="54235818" w14:textId="40FFF0C2" w:rsidR="00613766" w:rsidRDefault="00AA3A87" w:rsidP="003A16A7">
      <w:pPr>
        <w:pStyle w:val="FSBullet1"/>
        <w:ind w:left="426" w:hanging="426"/>
        <w:rPr>
          <w:lang w:eastAsia="en-AU"/>
        </w:rPr>
      </w:pPr>
      <w:r>
        <w:t xml:space="preserve">Endo-1,4-β-xylanase </w:t>
      </w:r>
      <w:r w:rsidR="00613766">
        <w:t xml:space="preserve"> from </w:t>
      </w:r>
      <w:r w:rsidR="00613766">
        <w:rPr>
          <w:i/>
        </w:rPr>
        <w:t>T. reesei</w:t>
      </w:r>
      <w:r w:rsidR="00613766">
        <w:rPr>
          <w:lang w:eastAsia="en-AU"/>
        </w:rPr>
        <w:t xml:space="preserve"> does not </w:t>
      </w:r>
      <w:r w:rsidR="00613766">
        <w:rPr>
          <w:rFonts w:eastAsia="Calibri"/>
          <w:color w:val="000000" w:themeColor="text1"/>
          <w:szCs w:val="22"/>
        </w:rPr>
        <w:t xml:space="preserve">have the characteristics of a potential food allergen and ingestion of any residual </w:t>
      </w:r>
      <w:r>
        <w:t xml:space="preserve">endo-1,4-β-xylanase </w:t>
      </w:r>
      <w:r w:rsidR="00613766">
        <w:rPr>
          <w:rFonts w:eastAsia="Calibri"/>
          <w:color w:val="000000" w:themeColor="text1"/>
          <w:szCs w:val="22"/>
        </w:rPr>
        <w:t xml:space="preserve"> in food products is unlikely to pose an allergenicity concern</w:t>
      </w:r>
      <w:r w:rsidR="00613766">
        <w:rPr>
          <w:lang w:eastAsia="en-AU"/>
        </w:rPr>
        <w:t>.</w:t>
      </w:r>
    </w:p>
    <w:p w14:paraId="6AF775A5" w14:textId="77777777" w:rsidR="00613766" w:rsidRDefault="00613766" w:rsidP="00613766">
      <w:pPr>
        <w:widowControl/>
        <w:rPr>
          <w:lang w:eastAsia="en-AU" w:bidi="ar-SA"/>
        </w:rPr>
      </w:pPr>
    </w:p>
    <w:p w14:paraId="32692E7B" w14:textId="77777777" w:rsidR="00613766" w:rsidRPr="00EE0B89" w:rsidRDefault="00613766" w:rsidP="00613766">
      <w:pPr>
        <w:rPr>
          <w:lang w:eastAsia="en-AU" w:bidi="ar-SA"/>
        </w:rPr>
      </w:pPr>
      <w:r w:rsidRPr="00EE0B89">
        <w:rPr>
          <w:lang w:eastAsia="en-AU" w:bidi="ar-SA"/>
        </w:rPr>
        <w:t>Based on the reviewed toxicological data it is concluded that in the absence of any identifiable hazard an Acceptable Daily Intake (ADI) ‘not specified’ is appropriate. A dietary exposure assessment was therefore not required.</w:t>
      </w:r>
    </w:p>
    <w:p w14:paraId="41408B72" w14:textId="77777777" w:rsidR="006A558D" w:rsidRDefault="006A558D">
      <w:pPr>
        <w:widowControl/>
        <w:rPr>
          <w:b/>
          <w:bCs/>
          <w:sz w:val="36"/>
          <w:szCs w:val="28"/>
          <w:lang w:bidi="ar-SA"/>
        </w:rPr>
      </w:pPr>
      <w:bookmarkStart w:id="67" w:name="_Toc499282454"/>
      <w:r>
        <w:br w:type="page"/>
      </w:r>
    </w:p>
    <w:p w14:paraId="199AF10D" w14:textId="680920E9" w:rsidR="008F04A4" w:rsidRPr="003F4D2E" w:rsidRDefault="008F04A4" w:rsidP="003F4D2E">
      <w:pPr>
        <w:pStyle w:val="Heading1"/>
      </w:pPr>
      <w:bookmarkStart w:id="68" w:name="_Toc505255643"/>
      <w:r>
        <w:t>References</w:t>
      </w:r>
      <w:bookmarkEnd w:id="67"/>
      <w:bookmarkEnd w:id="68"/>
    </w:p>
    <w:p w14:paraId="72C9B316" w14:textId="77777777" w:rsidR="00611C95" w:rsidRPr="0071484C" w:rsidRDefault="00611C95" w:rsidP="00611C95">
      <w:pPr>
        <w:rPr>
          <w:szCs w:val="22"/>
        </w:rPr>
      </w:pPr>
      <w:r w:rsidRPr="0071484C">
        <w:rPr>
          <w:szCs w:val="22"/>
        </w:rPr>
        <w:t xml:space="preserve">ANSES (2015) </w:t>
      </w:r>
      <w:hyperlink r:id="rId20" w:history="1">
        <w:r w:rsidRPr="0071484C">
          <w:rPr>
            <w:rStyle w:val="Hyperlink"/>
            <w:szCs w:val="22"/>
          </w:rPr>
          <w:t xml:space="preserve">Application for extension of the authorization to use a xylanase from a strain of </w:t>
        </w:r>
        <w:r w:rsidRPr="0071484C">
          <w:rPr>
            <w:rStyle w:val="Hyperlink"/>
            <w:i/>
            <w:szCs w:val="22"/>
          </w:rPr>
          <w:t>Trichoderma longibrachiatum</w:t>
        </w:r>
        <w:r w:rsidRPr="0071484C">
          <w:rPr>
            <w:rStyle w:val="Hyperlink"/>
            <w:szCs w:val="22"/>
          </w:rPr>
          <w:t xml:space="preserve"> carrying a mutated gene encoding a </w:t>
        </w:r>
        <w:r w:rsidRPr="0071484C">
          <w:rPr>
            <w:rStyle w:val="Hyperlink"/>
            <w:i/>
            <w:szCs w:val="22"/>
          </w:rPr>
          <w:t>Thermopolyspora flexuosa</w:t>
        </w:r>
        <w:r w:rsidRPr="0071484C">
          <w:rPr>
            <w:rStyle w:val="Hyperlink"/>
            <w:szCs w:val="22"/>
          </w:rPr>
          <w:t xml:space="preserve"> xylanase (anterior synonym </w:t>
        </w:r>
        <w:r w:rsidRPr="0071484C">
          <w:rPr>
            <w:rStyle w:val="Hyperlink"/>
            <w:i/>
            <w:szCs w:val="22"/>
          </w:rPr>
          <w:t>Nonomuraea flexuosa</w:t>
        </w:r>
        <w:r w:rsidRPr="0071484C">
          <w:rPr>
            <w:rStyle w:val="Hyperlink"/>
            <w:szCs w:val="22"/>
          </w:rPr>
          <w:t>) in breweries, starch production and drinking alcohol production.</w:t>
        </w:r>
      </w:hyperlink>
      <w:r w:rsidRPr="0071484C">
        <w:rPr>
          <w:szCs w:val="22"/>
        </w:rPr>
        <w:t xml:space="preserve"> Report prepared by the French Agency for Food, Environment and Occupational Health &amp; Safety. </w:t>
      </w:r>
      <w:r w:rsidRPr="0071484C">
        <w:rPr>
          <w:rStyle w:val="Hyperlink"/>
          <w:color w:val="auto"/>
          <w:szCs w:val="22"/>
          <w:u w:val="none"/>
        </w:rPr>
        <w:t>(</w:t>
      </w:r>
      <w:r>
        <w:rPr>
          <w:rStyle w:val="Hyperlink"/>
          <w:color w:val="auto"/>
          <w:szCs w:val="22"/>
          <w:u w:val="none"/>
        </w:rPr>
        <w:t>A</w:t>
      </w:r>
      <w:r w:rsidRPr="0071484C">
        <w:rPr>
          <w:rStyle w:val="Hyperlink"/>
          <w:color w:val="auto"/>
          <w:szCs w:val="22"/>
          <w:u w:val="none"/>
        </w:rPr>
        <w:t>ccessed November 2017).</w:t>
      </w:r>
    </w:p>
    <w:p w14:paraId="3EE859F0" w14:textId="77777777" w:rsidR="00611C95" w:rsidRPr="0071484C" w:rsidRDefault="00611C95" w:rsidP="00611C95">
      <w:pPr>
        <w:rPr>
          <w:szCs w:val="22"/>
        </w:rPr>
      </w:pPr>
    </w:p>
    <w:p w14:paraId="72CF2B45" w14:textId="77777777" w:rsidR="00611C95" w:rsidRPr="0071484C" w:rsidRDefault="00611C95" w:rsidP="00611C95">
      <w:pPr>
        <w:rPr>
          <w:szCs w:val="22"/>
        </w:rPr>
      </w:pPr>
      <w:r w:rsidRPr="0071484C">
        <w:rPr>
          <w:szCs w:val="22"/>
        </w:rPr>
        <w:t xml:space="preserve">ANZFA (1997a) </w:t>
      </w:r>
      <w:hyperlink r:id="rId21" w:history="1">
        <w:r w:rsidRPr="0071484C">
          <w:rPr>
            <w:rStyle w:val="Hyperlink"/>
            <w:szCs w:val="22"/>
          </w:rPr>
          <w:t>Application A304 - Xylanase in Baked Products including Bread.</w:t>
        </w:r>
      </w:hyperlink>
      <w:r w:rsidRPr="0071484C">
        <w:rPr>
          <w:szCs w:val="22"/>
        </w:rPr>
        <w:t xml:space="preserve"> Report prepared by the Australia New Zealand Food Authority. </w:t>
      </w:r>
      <w:r w:rsidRPr="0071484C">
        <w:rPr>
          <w:rStyle w:val="Hyperlink"/>
          <w:color w:val="auto"/>
          <w:szCs w:val="22"/>
          <w:u w:val="none"/>
        </w:rPr>
        <w:t>(</w:t>
      </w:r>
      <w:r>
        <w:rPr>
          <w:rStyle w:val="Hyperlink"/>
          <w:color w:val="auto"/>
          <w:szCs w:val="22"/>
          <w:u w:val="none"/>
        </w:rPr>
        <w:t>A</w:t>
      </w:r>
      <w:r w:rsidRPr="0071484C">
        <w:rPr>
          <w:rStyle w:val="Hyperlink"/>
          <w:color w:val="auto"/>
          <w:szCs w:val="22"/>
          <w:u w:val="none"/>
        </w:rPr>
        <w:t>ccessed November 2017).</w:t>
      </w:r>
    </w:p>
    <w:p w14:paraId="10BBE32A" w14:textId="77777777" w:rsidR="00611C95" w:rsidRPr="0071484C" w:rsidRDefault="00611C95" w:rsidP="00611C95">
      <w:pPr>
        <w:rPr>
          <w:szCs w:val="22"/>
        </w:rPr>
      </w:pPr>
    </w:p>
    <w:p w14:paraId="130687B8" w14:textId="77777777" w:rsidR="00611C95" w:rsidRPr="0071484C" w:rsidRDefault="00611C95" w:rsidP="00611C95">
      <w:pPr>
        <w:rPr>
          <w:szCs w:val="22"/>
        </w:rPr>
      </w:pPr>
      <w:r w:rsidRPr="0071484C">
        <w:rPr>
          <w:szCs w:val="22"/>
        </w:rPr>
        <w:t xml:space="preserve">ANZFA (1997b) </w:t>
      </w:r>
      <w:hyperlink r:id="rId22" w:history="1">
        <w:r w:rsidRPr="0071484C">
          <w:rPr>
            <w:rStyle w:val="Hyperlink"/>
            <w:szCs w:val="22"/>
          </w:rPr>
          <w:t>Application A317 – Xylanase Processing Aid for Starch.</w:t>
        </w:r>
      </w:hyperlink>
      <w:r w:rsidRPr="0071484C">
        <w:rPr>
          <w:szCs w:val="22"/>
        </w:rPr>
        <w:t xml:space="preserve"> Report prepared by the Australia New Zealand Food Authority. </w:t>
      </w:r>
      <w:r w:rsidRPr="0071484C">
        <w:rPr>
          <w:rStyle w:val="Hyperlink"/>
          <w:color w:val="auto"/>
          <w:szCs w:val="22"/>
          <w:u w:val="none"/>
        </w:rPr>
        <w:t>(</w:t>
      </w:r>
      <w:r>
        <w:rPr>
          <w:rStyle w:val="Hyperlink"/>
          <w:color w:val="auto"/>
          <w:szCs w:val="22"/>
          <w:u w:val="none"/>
        </w:rPr>
        <w:t>A</w:t>
      </w:r>
      <w:r w:rsidRPr="0071484C">
        <w:rPr>
          <w:rStyle w:val="Hyperlink"/>
          <w:color w:val="auto"/>
          <w:szCs w:val="22"/>
          <w:u w:val="none"/>
        </w:rPr>
        <w:t>ccessed November 2017).</w:t>
      </w:r>
    </w:p>
    <w:p w14:paraId="7C915FED" w14:textId="77777777" w:rsidR="00611C95" w:rsidRPr="0071484C" w:rsidRDefault="00611C95" w:rsidP="00611C95">
      <w:pPr>
        <w:rPr>
          <w:szCs w:val="22"/>
        </w:rPr>
      </w:pPr>
    </w:p>
    <w:p w14:paraId="701A0F3D" w14:textId="77777777" w:rsidR="00611C95" w:rsidRPr="0071484C" w:rsidRDefault="00611C95" w:rsidP="00611C95">
      <w:pPr>
        <w:rPr>
          <w:szCs w:val="22"/>
        </w:rPr>
      </w:pPr>
      <w:r w:rsidRPr="0071484C">
        <w:rPr>
          <w:szCs w:val="22"/>
        </w:rPr>
        <w:t>Delaney B, Astwood JD, Cunny H, Eichen Conn R, Herouet-Guicheney C, MacIntosh S, Meyer LS, Privalle LS, Gao Y, Mattsson J, Levine M, ILSI (2008) Evaluation of protein safety in the context of agricultural biotechnology. Food Chem Toxicol 46:S71-S97</w:t>
      </w:r>
    </w:p>
    <w:p w14:paraId="32C79903" w14:textId="77777777" w:rsidR="00611C95" w:rsidRPr="0071484C" w:rsidRDefault="00611C95" w:rsidP="00611C95">
      <w:pPr>
        <w:rPr>
          <w:szCs w:val="22"/>
        </w:rPr>
      </w:pPr>
    </w:p>
    <w:p w14:paraId="2E45D9B0" w14:textId="77777777" w:rsidR="00611C95" w:rsidRPr="0071484C" w:rsidRDefault="00611C95" w:rsidP="00611C95">
      <w:pPr>
        <w:rPr>
          <w:szCs w:val="22"/>
        </w:rPr>
      </w:pPr>
      <w:r w:rsidRPr="0071484C">
        <w:rPr>
          <w:szCs w:val="22"/>
        </w:rPr>
        <w:t xml:space="preserve">FAO (2001) </w:t>
      </w:r>
      <w:hyperlink r:id="rId23" w:history="1">
        <w:r w:rsidRPr="0071484C">
          <w:rPr>
            <w:rStyle w:val="Hyperlink"/>
            <w:szCs w:val="22"/>
          </w:rPr>
          <w:t>Evaluation of Allergenicity of Genetically Modified Foods. Report of a Joint FAO/WHO Expert Consultation on Allergenicity of Foods Derived from Biotechnology.</w:t>
        </w:r>
      </w:hyperlink>
      <w:r w:rsidRPr="0071484C">
        <w:rPr>
          <w:szCs w:val="22"/>
        </w:rPr>
        <w:t xml:space="preserve"> Food and Agriculture Organization of the United Nations. </w:t>
      </w:r>
      <w:r w:rsidRPr="0071484C">
        <w:rPr>
          <w:rStyle w:val="Hyperlink"/>
          <w:color w:val="auto"/>
          <w:szCs w:val="22"/>
          <w:u w:val="none"/>
        </w:rPr>
        <w:t>(</w:t>
      </w:r>
      <w:r>
        <w:rPr>
          <w:rStyle w:val="Hyperlink"/>
          <w:color w:val="auto"/>
          <w:szCs w:val="22"/>
          <w:u w:val="none"/>
        </w:rPr>
        <w:t>A</w:t>
      </w:r>
      <w:r w:rsidRPr="0071484C">
        <w:rPr>
          <w:rStyle w:val="Hyperlink"/>
          <w:color w:val="auto"/>
          <w:szCs w:val="22"/>
          <w:u w:val="none"/>
        </w:rPr>
        <w:t>ccessed November 2017).</w:t>
      </w:r>
    </w:p>
    <w:p w14:paraId="48BD075C" w14:textId="77777777" w:rsidR="00611C95" w:rsidRPr="0071484C" w:rsidRDefault="00611C95" w:rsidP="00611C95">
      <w:pPr>
        <w:rPr>
          <w:szCs w:val="22"/>
        </w:rPr>
      </w:pPr>
    </w:p>
    <w:p w14:paraId="16D026C5" w14:textId="77777777" w:rsidR="00611C95" w:rsidRPr="0071484C" w:rsidRDefault="00611C95" w:rsidP="00611C95">
      <w:pPr>
        <w:rPr>
          <w:szCs w:val="22"/>
        </w:rPr>
      </w:pPr>
      <w:r w:rsidRPr="0071484C">
        <w:rPr>
          <w:szCs w:val="22"/>
        </w:rPr>
        <w:t xml:space="preserve">FDA (2016) </w:t>
      </w:r>
      <w:hyperlink r:id="rId24" w:history="1">
        <w:r w:rsidRPr="0071484C">
          <w:rPr>
            <w:rStyle w:val="Hyperlink"/>
            <w:szCs w:val="22"/>
          </w:rPr>
          <w:t>Agency Response Letter GRAS Notice No. GRN 000628</w:t>
        </w:r>
      </w:hyperlink>
      <w:r w:rsidRPr="0071484C">
        <w:rPr>
          <w:szCs w:val="22"/>
        </w:rPr>
        <w:t xml:space="preserve">. United States Food and Drug Administration. </w:t>
      </w:r>
      <w:r w:rsidRPr="0071484C">
        <w:rPr>
          <w:rStyle w:val="Hyperlink"/>
          <w:color w:val="auto"/>
          <w:szCs w:val="22"/>
          <w:u w:val="none"/>
        </w:rPr>
        <w:t>(accessed November 2017).</w:t>
      </w:r>
    </w:p>
    <w:p w14:paraId="4A6C1EF2" w14:textId="77777777" w:rsidR="00611C95" w:rsidRPr="0071484C" w:rsidRDefault="00611C95" w:rsidP="00611C95">
      <w:pPr>
        <w:tabs>
          <w:tab w:val="left" w:pos="0"/>
        </w:tabs>
        <w:rPr>
          <w:szCs w:val="22"/>
        </w:rPr>
      </w:pPr>
    </w:p>
    <w:p w14:paraId="30EBF96A" w14:textId="77777777" w:rsidR="00611C95" w:rsidRPr="0071484C" w:rsidRDefault="00BA4E24" w:rsidP="00611C95">
      <w:pPr>
        <w:tabs>
          <w:tab w:val="left" w:pos="0"/>
        </w:tabs>
        <w:rPr>
          <w:rFonts w:cs="Arial"/>
          <w:noProof/>
          <w:szCs w:val="22"/>
        </w:rPr>
      </w:pPr>
      <w:hyperlink r:id="rId25" w:history="1">
        <w:r w:rsidR="00611C95" w:rsidRPr="005C75D5">
          <w:rPr>
            <w:rStyle w:val="Hyperlink"/>
            <w:rFonts w:cs="Arial"/>
            <w:noProof/>
            <w:szCs w:val="22"/>
          </w:rPr>
          <w:t>Food Chemicals Codex 9</w:t>
        </w:r>
        <w:r w:rsidR="00611C95" w:rsidRPr="005C75D5">
          <w:rPr>
            <w:rStyle w:val="Hyperlink"/>
            <w:rFonts w:cs="Arial"/>
            <w:noProof/>
            <w:szCs w:val="22"/>
            <w:vertAlign w:val="superscript"/>
          </w:rPr>
          <w:t>th</w:t>
        </w:r>
        <w:r w:rsidR="00611C95" w:rsidRPr="005C75D5">
          <w:rPr>
            <w:rStyle w:val="Hyperlink"/>
            <w:rFonts w:cs="Arial"/>
            <w:noProof/>
            <w:szCs w:val="22"/>
          </w:rPr>
          <w:t xml:space="preserve"> Edition (2014)</w:t>
        </w:r>
      </w:hyperlink>
      <w:r w:rsidR="00611C95" w:rsidRPr="0071484C">
        <w:rPr>
          <w:rFonts w:cs="Arial"/>
          <w:noProof/>
          <w:szCs w:val="22"/>
        </w:rPr>
        <w:t>, The United States Pharmacopeia, United States Pharmacopeial Convention, Rockville, MD.</w:t>
      </w:r>
      <w:r w:rsidR="00611C95">
        <w:rPr>
          <w:rFonts w:cs="Arial"/>
          <w:noProof/>
          <w:szCs w:val="22"/>
        </w:rPr>
        <w:t xml:space="preserve"> (Accessed November 2017).</w:t>
      </w:r>
    </w:p>
    <w:p w14:paraId="67CC26A1" w14:textId="77777777" w:rsidR="00611C95" w:rsidRPr="0071484C" w:rsidRDefault="00611C95" w:rsidP="00611C95">
      <w:pPr>
        <w:rPr>
          <w:szCs w:val="22"/>
        </w:rPr>
      </w:pPr>
    </w:p>
    <w:p w14:paraId="1DF2E780" w14:textId="77777777" w:rsidR="00611C95" w:rsidRPr="0071484C" w:rsidRDefault="00611C95" w:rsidP="00611C95">
      <w:pPr>
        <w:rPr>
          <w:szCs w:val="22"/>
        </w:rPr>
      </w:pPr>
      <w:r w:rsidRPr="0071484C">
        <w:rPr>
          <w:szCs w:val="22"/>
        </w:rPr>
        <w:t xml:space="preserve">FSANZ (2015) </w:t>
      </w:r>
      <w:hyperlink r:id="rId26" w:history="1">
        <w:r w:rsidRPr="0071484C">
          <w:rPr>
            <w:rStyle w:val="Hyperlink"/>
            <w:szCs w:val="22"/>
          </w:rPr>
          <w:t xml:space="preserve">Application A1096 – Xylanase from </w:t>
        </w:r>
        <w:r w:rsidRPr="0071484C">
          <w:rPr>
            <w:rStyle w:val="Hyperlink"/>
            <w:i/>
            <w:szCs w:val="22"/>
          </w:rPr>
          <w:t>Bacillus licheniformis</w:t>
        </w:r>
        <w:r w:rsidRPr="0071484C">
          <w:rPr>
            <w:rStyle w:val="Hyperlink"/>
            <w:szCs w:val="22"/>
          </w:rPr>
          <w:t xml:space="preserve"> as a Processing Aid (Enzyme).</w:t>
        </w:r>
      </w:hyperlink>
      <w:r w:rsidRPr="0071484C">
        <w:rPr>
          <w:szCs w:val="22"/>
        </w:rPr>
        <w:t xml:space="preserve"> Report prepared by Food Standards Australia New Zealand. </w:t>
      </w:r>
      <w:r w:rsidRPr="0071484C">
        <w:rPr>
          <w:rStyle w:val="Hyperlink"/>
          <w:color w:val="auto"/>
          <w:szCs w:val="22"/>
          <w:u w:val="none"/>
        </w:rPr>
        <w:t>(accessed November 2017).</w:t>
      </w:r>
    </w:p>
    <w:p w14:paraId="0AA7DA64" w14:textId="77777777" w:rsidR="00611C95" w:rsidRPr="0071484C" w:rsidRDefault="00611C95" w:rsidP="00611C95">
      <w:pPr>
        <w:rPr>
          <w:szCs w:val="22"/>
        </w:rPr>
      </w:pPr>
    </w:p>
    <w:p w14:paraId="6471ED57" w14:textId="77777777" w:rsidR="00611C95" w:rsidRPr="0071484C" w:rsidRDefault="00611C95" w:rsidP="00611C95">
      <w:pPr>
        <w:rPr>
          <w:szCs w:val="22"/>
        </w:rPr>
      </w:pPr>
      <w:r w:rsidRPr="0071484C">
        <w:rPr>
          <w:szCs w:val="22"/>
        </w:rPr>
        <w:t xml:space="preserve">FSANZ (2016) </w:t>
      </w:r>
      <w:hyperlink r:id="rId27" w:history="1">
        <w:r w:rsidRPr="0071484C">
          <w:rPr>
            <w:rStyle w:val="Hyperlink"/>
            <w:szCs w:val="22"/>
          </w:rPr>
          <w:t>Finalised Applications to 30 June 2016.</w:t>
        </w:r>
      </w:hyperlink>
      <w:r w:rsidRPr="0071484C">
        <w:rPr>
          <w:szCs w:val="22"/>
        </w:rPr>
        <w:t xml:space="preserve"> Report prepared by Food Standards Australia New Zealand. </w:t>
      </w:r>
      <w:r w:rsidRPr="0071484C">
        <w:rPr>
          <w:rStyle w:val="Hyperlink"/>
          <w:color w:val="auto"/>
          <w:szCs w:val="22"/>
          <w:u w:val="none"/>
        </w:rPr>
        <w:t>(accessed November 2017).</w:t>
      </w:r>
    </w:p>
    <w:p w14:paraId="01AB1999" w14:textId="77777777" w:rsidR="00611C95" w:rsidRPr="0071484C" w:rsidRDefault="00611C95" w:rsidP="00611C95">
      <w:pPr>
        <w:rPr>
          <w:szCs w:val="22"/>
        </w:rPr>
      </w:pPr>
    </w:p>
    <w:p w14:paraId="1C01A0C8" w14:textId="77777777" w:rsidR="00611C95" w:rsidRPr="0071484C" w:rsidRDefault="00611C95" w:rsidP="00611C95">
      <w:pPr>
        <w:rPr>
          <w:szCs w:val="22"/>
        </w:rPr>
      </w:pPr>
      <w:r w:rsidRPr="0071484C">
        <w:rPr>
          <w:szCs w:val="22"/>
        </w:rPr>
        <w:t xml:space="preserve">FSANZ (2017) </w:t>
      </w:r>
      <w:hyperlink r:id="rId28" w:history="1">
        <w:r w:rsidRPr="0071484C">
          <w:rPr>
            <w:rStyle w:val="Hyperlink"/>
            <w:szCs w:val="22"/>
          </w:rPr>
          <w:t>Application A1125 – Endo β(1,4) Xylanase as a Processing Aid (Enzyme).</w:t>
        </w:r>
      </w:hyperlink>
      <w:r w:rsidRPr="0071484C">
        <w:rPr>
          <w:szCs w:val="22"/>
        </w:rPr>
        <w:t xml:space="preserve"> Report prepared by Food Standards Australia New Zealand. </w:t>
      </w:r>
      <w:r w:rsidRPr="0071484C">
        <w:rPr>
          <w:rStyle w:val="Hyperlink"/>
          <w:color w:val="auto"/>
          <w:szCs w:val="22"/>
          <w:u w:val="none"/>
        </w:rPr>
        <w:t>(accessed November 2017).</w:t>
      </w:r>
    </w:p>
    <w:p w14:paraId="0581D3DB" w14:textId="77777777" w:rsidR="00611C95" w:rsidRPr="0071484C" w:rsidRDefault="00611C95" w:rsidP="00611C95">
      <w:pPr>
        <w:rPr>
          <w:szCs w:val="22"/>
        </w:rPr>
      </w:pPr>
    </w:p>
    <w:p w14:paraId="60A92FB4" w14:textId="77777777" w:rsidR="00611C95" w:rsidRPr="0071484C" w:rsidRDefault="00611C95" w:rsidP="00611C95">
      <w:pPr>
        <w:rPr>
          <w:szCs w:val="22"/>
        </w:rPr>
      </w:pPr>
      <w:r w:rsidRPr="0071484C">
        <w:rPr>
          <w:szCs w:val="22"/>
        </w:rPr>
        <w:t>Gabrielli E, Fothergill AW, Brescini L, Sutton DA, Marchionni E, Orsetti E, Staffolani S, Castelli P, Gesuita R, Barchiesi F (2014) Osteomyelitis caused by Aspergillus species: A review of 310 reported cases. Clin Microbiol Infect 20:559-565</w:t>
      </w:r>
    </w:p>
    <w:p w14:paraId="5598009A" w14:textId="77777777" w:rsidR="00611C95" w:rsidRPr="0071484C" w:rsidRDefault="00611C95" w:rsidP="00611C95">
      <w:pPr>
        <w:rPr>
          <w:szCs w:val="22"/>
        </w:rPr>
      </w:pPr>
    </w:p>
    <w:p w14:paraId="435C0995" w14:textId="77777777" w:rsidR="00611C95" w:rsidRPr="0071484C" w:rsidRDefault="00611C95" w:rsidP="00611C95">
      <w:pPr>
        <w:rPr>
          <w:szCs w:val="22"/>
        </w:rPr>
      </w:pPr>
      <w:r w:rsidRPr="0071484C">
        <w:rPr>
          <w:szCs w:val="22"/>
        </w:rPr>
        <w:t xml:space="preserve">Harris D, Ramalingam C (2010) </w:t>
      </w:r>
      <w:hyperlink r:id="rId29" w:history="1">
        <w:r w:rsidRPr="0071484C">
          <w:rPr>
            <w:rStyle w:val="Hyperlink"/>
            <w:szCs w:val="22"/>
          </w:rPr>
          <w:t>Xylanases and its application in food industry: a review</w:t>
        </w:r>
      </w:hyperlink>
      <w:r w:rsidRPr="0071484C">
        <w:rPr>
          <w:szCs w:val="22"/>
        </w:rPr>
        <w:t xml:space="preserve">. Journal of Experimental Sciences 1(7):1-11. Accessed 24 November 2017. </w:t>
      </w:r>
    </w:p>
    <w:p w14:paraId="3CE879B6" w14:textId="77777777" w:rsidR="00611C95" w:rsidRPr="0071484C" w:rsidRDefault="00611C95" w:rsidP="00611C95">
      <w:pPr>
        <w:rPr>
          <w:szCs w:val="22"/>
        </w:rPr>
      </w:pPr>
    </w:p>
    <w:p w14:paraId="3D921A20" w14:textId="77777777" w:rsidR="00611C95" w:rsidRPr="0071484C" w:rsidRDefault="00611C95" w:rsidP="00611C95">
      <w:pPr>
        <w:rPr>
          <w:szCs w:val="22"/>
        </w:rPr>
      </w:pPr>
      <w:r w:rsidRPr="0071484C">
        <w:rPr>
          <w:szCs w:val="22"/>
        </w:rPr>
        <w:t>IUBMB (2017) International Union of Biochemistry and Molecular Biology (IUBMB)</w:t>
      </w:r>
      <w:r>
        <w:rPr>
          <w:szCs w:val="22"/>
        </w:rPr>
        <w:t>.</w:t>
      </w:r>
      <w:r w:rsidRPr="0071484C">
        <w:rPr>
          <w:szCs w:val="22"/>
        </w:rPr>
        <w:t xml:space="preserve"> </w:t>
      </w:r>
      <w:hyperlink r:id="rId30" w:anchor="008" w:history="1">
        <w:r w:rsidRPr="00363932">
          <w:rPr>
            <w:rStyle w:val="Hyperlink"/>
            <w:szCs w:val="22"/>
          </w:rPr>
          <w:t>Enzyme Nomenclature for EC 3.2.1.8</w:t>
        </w:r>
      </w:hyperlink>
      <w:r w:rsidRPr="0071484C">
        <w:rPr>
          <w:szCs w:val="22"/>
        </w:rPr>
        <w:t>. (Accessed 27 November 2017</w:t>
      </w:r>
      <w:r>
        <w:rPr>
          <w:szCs w:val="22"/>
        </w:rPr>
        <w:t>)</w:t>
      </w:r>
      <w:r w:rsidRPr="0071484C">
        <w:rPr>
          <w:szCs w:val="22"/>
        </w:rPr>
        <w:t xml:space="preserve">. </w:t>
      </w:r>
    </w:p>
    <w:p w14:paraId="290123C1" w14:textId="77777777" w:rsidR="00611C95" w:rsidRPr="0071484C" w:rsidRDefault="00611C95" w:rsidP="00611C95">
      <w:pPr>
        <w:rPr>
          <w:szCs w:val="22"/>
        </w:rPr>
      </w:pPr>
    </w:p>
    <w:p w14:paraId="2BC56CB2" w14:textId="77777777" w:rsidR="00611C95" w:rsidRPr="0071484C" w:rsidRDefault="00611C95" w:rsidP="00611C95">
      <w:pPr>
        <w:rPr>
          <w:szCs w:val="22"/>
        </w:rPr>
      </w:pPr>
      <w:r w:rsidRPr="0071484C">
        <w:rPr>
          <w:szCs w:val="22"/>
        </w:rPr>
        <w:t>JECFA (20</w:t>
      </w:r>
      <w:r>
        <w:rPr>
          <w:szCs w:val="22"/>
        </w:rPr>
        <w:t>06</w:t>
      </w:r>
      <w:r w:rsidRPr="0071484C">
        <w:rPr>
          <w:szCs w:val="22"/>
        </w:rPr>
        <w:t xml:space="preserve">) </w:t>
      </w:r>
      <w:hyperlink r:id="rId31" w:history="1">
        <w:r w:rsidRPr="0071484C">
          <w:rPr>
            <w:rStyle w:val="Hyperlink"/>
            <w:szCs w:val="22"/>
          </w:rPr>
          <w:t>General specifications and considerations for enzyme preparations.</w:t>
        </w:r>
      </w:hyperlink>
      <w:r w:rsidRPr="0071484C">
        <w:rPr>
          <w:szCs w:val="22"/>
        </w:rPr>
        <w:t xml:space="preserve"> used in food processing. (Accessed 24 November 2017). </w:t>
      </w:r>
    </w:p>
    <w:p w14:paraId="1C13505E" w14:textId="77777777" w:rsidR="00611C95" w:rsidRPr="0071484C" w:rsidRDefault="00611C95" w:rsidP="00611C95">
      <w:pPr>
        <w:rPr>
          <w:szCs w:val="22"/>
        </w:rPr>
      </w:pPr>
    </w:p>
    <w:p w14:paraId="2BFEEED5" w14:textId="77777777" w:rsidR="00611C95" w:rsidRPr="0071484C" w:rsidRDefault="00611C95" w:rsidP="00611C95">
      <w:pPr>
        <w:rPr>
          <w:szCs w:val="22"/>
        </w:rPr>
      </w:pPr>
      <w:r w:rsidRPr="0071484C">
        <w:rPr>
          <w:szCs w:val="22"/>
        </w:rPr>
        <w:t xml:space="preserve">Kelly JM, Hynes MJ (1985) Transformation of </w:t>
      </w:r>
      <w:r w:rsidRPr="0071484C">
        <w:rPr>
          <w:i/>
          <w:szCs w:val="22"/>
        </w:rPr>
        <w:t>Aspergillus niger</w:t>
      </w:r>
      <w:r w:rsidRPr="0071484C">
        <w:rPr>
          <w:szCs w:val="22"/>
        </w:rPr>
        <w:t xml:space="preserve"> by the </w:t>
      </w:r>
      <w:r w:rsidRPr="0071484C">
        <w:rPr>
          <w:i/>
          <w:szCs w:val="22"/>
        </w:rPr>
        <w:t>amdS</w:t>
      </w:r>
      <w:r w:rsidRPr="0071484C">
        <w:rPr>
          <w:szCs w:val="22"/>
        </w:rPr>
        <w:t xml:space="preserve"> gene of </w:t>
      </w:r>
      <w:r w:rsidRPr="0071484C">
        <w:rPr>
          <w:i/>
          <w:szCs w:val="22"/>
        </w:rPr>
        <w:t>Aspergillus nidulans</w:t>
      </w:r>
      <w:r w:rsidRPr="0071484C">
        <w:rPr>
          <w:szCs w:val="22"/>
        </w:rPr>
        <w:t>. EMBO J 4:475-479</w:t>
      </w:r>
    </w:p>
    <w:p w14:paraId="6E1D1C32" w14:textId="77777777" w:rsidR="00611C95" w:rsidRPr="0071484C" w:rsidRDefault="00611C95" w:rsidP="00611C95">
      <w:pPr>
        <w:rPr>
          <w:szCs w:val="22"/>
        </w:rPr>
      </w:pPr>
    </w:p>
    <w:p w14:paraId="5069251B" w14:textId="77777777" w:rsidR="00611C95" w:rsidRDefault="00611C95" w:rsidP="00611C95">
      <w:pPr>
        <w:rPr>
          <w:szCs w:val="22"/>
        </w:rPr>
      </w:pPr>
    </w:p>
    <w:p w14:paraId="6CC16FD2" w14:textId="77777777" w:rsidR="00611C95" w:rsidRPr="0071484C" w:rsidRDefault="00611C95" w:rsidP="00611C95">
      <w:pPr>
        <w:rPr>
          <w:szCs w:val="22"/>
        </w:rPr>
      </w:pPr>
      <w:r>
        <w:rPr>
          <w:szCs w:val="22"/>
        </w:rPr>
        <w:t xml:space="preserve">Nevalainen H, Peterson R (2014) </w:t>
      </w:r>
      <w:r w:rsidRPr="00C406F0">
        <w:rPr>
          <w:szCs w:val="22"/>
        </w:rPr>
        <w:t>Making recombinant proteins in filamentous fungi</w:t>
      </w:r>
      <w:r>
        <w:rPr>
          <w:szCs w:val="22"/>
        </w:rPr>
        <w:t xml:space="preserve"> </w:t>
      </w:r>
      <w:r w:rsidRPr="00C406F0">
        <w:rPr>
          <w:szCs w:val="22"/>
        </w:rPr>
        <w:t>- are we expecting too much?</w:t>
      </w:r>
      <w:r>
        <w:rPr>
          <w:szCs w:val="22"/>
        </w:rPr>
        <w:t xml:space="preserve"> Front Microbiol 5:e75</w:t>
      </w:r>
    </w:p>
    <w:p w14:paraId="53EBC486" w14:textId="77777777" w:rsidR="00611C95" w:rsidRPr="0071484C" w:rsidRDefault="00611C95" w:rsidP="00611C95">
      <w:pPr>
        <w:rPr>
          <w:szCs w:val="22"/>
        </w:rPr>
      </w:pPr>
    </w:p>
    <w:p w14:paraId="16DF1EA0" w14:textId="77777777" w:rsidR="00611C95" w:rsidRPr="0071484C" w:rsidRDefault="00611C95" w:rsidP="00611C95">
      <w:pPr>
        <w:rPr>
          <w:szCs w:val="22"/>
        </w:rPr>
      </w:pPr>
      <w:r w:rsidRPr="0071484C">
        <w:rPr>
          <w:szCs w:val="22"/>
        </w:rPr>
        <w:t xml:space="preserve">NFA (1993) </w:t>
      </w:r>
      <w:hyperlink r:id="rId32" w:history="1">
        <w:r w:rsidRPr="0071484C">
          <w:rPr>
            <w:rStyle w:val="Hyperlink"/>
            <w:szCs w:val="22"/>
          </w:rPr>
          <w:t xml:space="preserve">Application A114 - Complex carbohydrase from </w:t>
        </w:r>
        <w:r w:rsidRPr="0071484C">
          <w:rPr>
            <w:rStyle w:val="Hyperlink"/>
            <w:i/>
            <w:szCs w:val="22"/>
          </w:rPr>
          <w:t>Humicola insolens</w:t>
        </w:r>
        <w:r w:rsidRPr="0071484C">
          <w:rPr>
            <w:rStyle w:val="Hyperlink"/>
            <w:szCs w:val="22"/>
          </w:rPr>
          <w:t xml:space="preserve"> as a Processing Aid (Enzyme).</w:t>
        </w:r>
      </w:hyperlink>
      <w:r w:rsidRPr="0071484C">
        <w:rPr>
          <w:szCs w:val="22"/>
        </w:rPr>
        <w:t xml:space="preserve"> Report prepared by the National Food Authority. </w:t>
      </w:r>
      <w:r w:rsidRPr="0071484C">
        <w:rPr>
          <w:rStyle w:val="Hyperlink"/>
          <w:color w:val="auto"/>
          <w:szCs w:val="22"/>
          <w:u w:val="none"/>
        </w:rPr>
        <w:t>(accessed November 2017).</w:t>
      </w:r>
    </w:p>
    <w:p w14:paraId="1F9F85A8" w14:textId="77777777" w:rsidR="00611C95" w:rsidRDefault="00611C95" w:rsidP="00611C95">
      <w:pPr>
        <w:pStyle w:val="CitaviBibliography"/>
        <w:spacing w:after="0" w:line="240" w:lineRule="auto"/>
        <w:rPr>
          <w:szCs w:val="22"/>
        </w:rPr>
      </w:pPr>
    </w:p>
    <w:p w14:paraId="45D74118" w14:textId="77777777" w:rsidR="00611C95" w:rsidRDefault="00611C95" w:rsidP="00611C95">
      <w:pPr>
        <w:pStyle w:val="CitaviBibliography"/>
        <w:spacing w:after="0" w:line="240" w:lineRule="auto"/>
        <w:rPr>
          <w:szCs w:val="22"/>
        </w:rPr>
      </w:pPr>
      <w:r w:rsidRPr="0071484C">
        <w:rPr>
          <w:szCs w:val="22"/>
        </w:rPr>
        <w:t xml:space="preserve">Paloheimo M, </w:t>
      </w:r>
      <w:r>
        <w:rPr>
          <w:szCs w:val="22"/>
        </w:rPr>
        <w:t>Haarmann</w:t>
      </w:r>
      <w:r w:rsidRPr="0071484C">
        <w:rPr>
          <w:szCs w:val="22"/>
        </w:rPr>
        <w:t xml:space="preserve"> </w:t>
      </w:r>
      <w:r>
        <w:rPr>
          <w:szCs w:val="22"/>
        </w:rPr>
        <w:t>T</w:t>
      </w:r>
      <w:r w:rsidRPr="0071484C">
        <w:rPr>
          <w:szCs w:val="22"/>
        </w:rPr>
        <w:t xml:space="preserve">, </w:t>
      </w:r>
      <w:r w:rsidRPr="00C406F0">
        <w:rPr>
          <w:szCs w:val="22"/>
        </w:rPr>
        <w:t xml:space="preserve">Mäkinen </w:t>
      </w:r>
      <w:r>
        <w:rPr>
          <w:szCs w:val="22"/>
        </w:rPr>
        <w:t xml:space="preserve">S, </w:t>
      </w:r>
      <w:r w:rsidRPr="00C406F0">
        <w:rPr>
          <w:szCs w:val="22"/>
        </w:rPr>
        <w:t xml:space="preserve">Vehmaanperä </w:t>
      </w:r>
      <w:r>
        <w:rPr>
          <w:szCs w:val="22"/>
        </w:rPr>
        <w:t xml:space="preserve">J </w:t>
      </w:r>
      <w:r w:rsidRPr="0071484C">
        <w:rPr>
          <w:szCs w:val="22"/>
        </w:rPr>
        <w:t>(20</w:t>
      </w:r>
      <w:r>
        <w:rPr>
          <w:szCs w:val="22"/>
        </w:rPr>
        <w:t>16</w:t>
      </w:r>
      <w:r w:rsidRPr="0071484C">
        <w:rPr>
          <w:szCs w:val="22"/>
        </w:rPr>
        <w:t xml:space="preserve">) </w:t>
      </w:r>
      <w:r>
        <w:rPr>
          <w:szCs w:val="22"/>
        </w:rPr>
        <w:t>P</w:t>
      </w:r>
      <w:r w:rsidRPr="0071484C">
        <w:rPr>
          <w:szCs w:val="22"/>
        </w:rPr>
        <w:t xml:space="preserve">roduction </w:t>
      </w:r>
      <w:r>
        <w:rPr>
          <w:szCs w:val="22"/>
        </w:rPr>
        <w:t>of industrial</w:t>
      </w:r>
      <w:r w:rsidRPr="0071484C">
        <w:rPr>
          <w:szCs w:val="22"/>
        </w:rPr>
        <w:t xml:space="preserve"> enzymes in </w:t>
      </w:r>
      <w:r w:rsidRPr="00347B9F">
        <w:rPr>
          <w:i/>
          <w:szCs w:val="22"/>
        </w:rPr>
        <w:t>Trichoderma reesei</w:t>
      </w:r>
      <w:r w:rsidRPr="0071484C">
        <w:rPr>
          <w:szCs w:val="22"/>
        </w:rPr>
        <w:t xml:space="preserve">. </w:t>
      </w:r>
      <w:r>
        <w:rPr>
          <w:szCs w:val="22"/>
        </w:rPr>
        <w:t xml:space="preserve">In: Schmoll M, Dattenböck C (Eds) Gene expression systems in Fungi: Advancements and Applications. </w:t>
      </w:r>
      <w:r w:rsidRPr="00C406F0">
        <w:rPr>
          <w:szCs w:val="22"/>
        </w:rPr>
        <w:t>Springer International Publishing</w:t>
      </w:r>
      <w:r>
        <w:rPr>
          <w:szCs w:val="22"/>
        </w:rPr>
        <w:t>, Switzerland, p.23-57</w:t>
      </w:r>
    </w:p>
    <w:p w14:paraId="6DE8FEFF" w14:textId="77777777" w:rsidR="00611C95" w:rsidRPr="00C406F0" w:rsidRDefault="00611C95" w:rsidP="00611C95">
      <w:pPr>
        <w:pStyle w:val="CitaviBibliography"/>
        <w:spacing w:after="0" w:line="240" w:lineRule="auto"/>
        <w:rPr>
          <w:szCs w:val="22"/>
        </w:rPr>
      </w:pPr>
    </w:p>
    <w:p w14:paraId="1E8B6F34" w14:textId="77777777" w:rsidR="00611C95" w:rsidRPr="0071484C" w:rsidRDefault="00611C95" w:rsidP="00611C95">
      <w:pPr>
        <w:pStyle w:val="CitaviBibliography"/>
        <w:spacing w:after="0" w:line="240" w:lineRule="auto"/>
        <w:rPr>
          <w:szCs w:val="22"/>
        </w:rPr>
      </w:pPr>
      <w:r w:rsidRPr="0071484C">
        <w:rPr>
          <w:szCs w:val="22"/>
        </w:rPr>
        <w:t>Pearson WR, Lipman DJ (1988) Improved tools for biological sequence comparison. Proc Natl Acad Sci 85:2444-2448</w:t>
      </w:r>
    </w:p>
    <w:p w14:paraId="77A908C9" w14:textId="77777777" w:rsidR="00611C95" w:rsidRPr="0071484C" w:rsidRDefault="00611C95" w:rsidP="00611C95">
      <w:pPr>
        <w:rPr>
          <w:szCs w:val="22"/>
        </w:rPr>
      </w:pPr>
    </w:p>
    <w:p w14:paraId="554C0EEA" w14:textId="2AC2EE46" w:rsidR="00BE4675" w:rsidRPr="0071484C" w:rsidRDefault="00611C95" w:rsidP="00611C95">
      <w:pPr>
        <w:rPr>
          <w:szCs w:val="22"/>
        </w:rPr>
      </w:pPr>
      <w:r w:rsidRPr="0071484C">
        <w:rPr>
          <w:szCs w:val="22"/>
        </w:rPr>
        <w:t>Sadarangani M, Harvey M, McDonald A, Speert DP, Dix D (2015) Brain Abscesses Due to Aspergillus nidulans Infection During Induction Chemotherapy for Acute Lymphoblastic Leukemia. J Pediatr Hematol Oncol 37:e384-6</w:t>
      </w:r>
    </w:p>
    <w:p w14:paraId="55F9F2F1" w14:textId="02B32E9D" w:rsidR="00EF2255" w:rsidRDefault="00EF2255" w:rsidP="00690206">
      <w:pPr>
        <w:rPr>
          <w:sz w:val="20"/>
          <w:szCs w:val="20"/>
        </w:rPr>
      </w:pPr>
    </w:p>
    <w:p w14:paraId="26B4D745" w14:textId="77777777" w:rsidR="00EF2255" w:rsidRDefault="00EF2255" w:rsidP="00690206">
      <w:pPr>
        <w:rPr>
          <w:sz w:val="20"/>
          <w:szCs w:val="20"/>
        </w:rPr>
      </w:pPr>
    </w:p>
    <w:p w14:paraId="45D8831B" w14:textId="4236C0D6" w:rsidR="00420ED3" w:rsidRPr="00FA15B7" w:rsidRDefault="00420ED3" w:rsidP="00690206">
      <w:pPr>
        <w:rPr>
          <w:sz w:val="20"/>
          <w:szCs w:val="20"/>
        </w:rPr>
      </w:pPr>
    </w:p>
    <w:sectPr w:rsidR="00420ED3" w:rsidRPr="00FA15B7"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30EEC" w14:textId="77777777" w:rsidR="00BC2A49" w:rsidRDefault="00BC2A49">
      <w:r>
        <w:separator/>
      </w:r>
    </w:p>
  </w:endnote>
  <w:endnote w:type="continuationSeparator" w:id="0">
    <w:p w14:paraId="733BC2C2" w14:textId="77777777" w:rsidR="00BC2A49" w:rsidRDefault="00BC2A49">
      <w:r>
        <w:continuationSeparator/>
      </w:r>
    </w:p>
  </w:endnote>
  <w:endnote w:type="continuationNotice" w:id="1">
    <w:p w14:paraId="0DD67CC0" w14:textId="77777777" w:rsidR="00BC2A49" w:rsidRDefault="00BC2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8C887" w14:textId="77777777" w:rsidR="00BC2A49" w:rsidRDefault="00BC2A49">
      <w:r>
        <w:separator/>
      </w:r>
    </w:p>
  </w:footnote>
  <w:footnote w:type="continuationSeparator" w:id="0">
    <w:p w14:paraId="73B286BF" w14:textId="77777777" w:rsidR="00BC2A49" w:rsidRDefault="00BC2A49">
      <w:r>
        <w:continuationSeparator/>
      </w:r>
    </w:p>
  </w:footnote>
  <w:footnote w:type="continuationNotice" w:id="1">
    <w:p w14:paraId="44A4FAC3" w14:textId="77777777" w:rsidR="00BC2A49" w:rsidRDefault="00BC2A49"/>
  </w:footnote>
  <w:footnote w:id="2">
    <w:p w14:paraId="12B03E25" w14:textId="77777777" w:rsidR="00BC2A49" w:rsidRPr="00FC0FEC" w:rsidRDefault="00BC2A49" w:rsidP="002C3BF4">
      <w:pPr>
        <w:pStyle w:val="FootnoteText"/>
        <w:rPr>
          <w:lang w:val="en-AU"/>
        </w:rPr>
      </w:pPr>
      <w:r>
        <w:rPr>
          <w:rStyle w:val="FootnoteReference"/>
        </w:rPr>
        <w:footnoteRef/>
      </w:r>
      <w:r>
        <w:t xml:space="preserve"> </w:t>
      </w:r>
      <w:hyperlink r:id="rId1" w:history="1">
        <w:r w:rsidRPr="00F66A96">
          <w:rPr>
            <w:rStyle w:val="Hyperlink"/>
          </w:rPr>
          <w:t>https://www.cdc.gov/biosafety/publications/bmbl5/index.htm</w:t>
        </w:r>
      </w:hyperlink>
      <w:r>
        <w:t xml:space="preserve"> </w:t>
      </w:r>
    </w:p>
  </w:footnote>
  <w:footnote w:id="3">
    <w:p w14:paraId="36D59702" w14:textId="77777777" w:rsidR="00BC2A49" w:rsidRPr="00E2435D" w:rsidRDefault="00BC2A49" w:rsidP="0075550B">
      <w:pPr>
        <w:pStyle w:val="FootnoteText"/>
        <w:rPr>
          <w:sz w:val="18"/>
        </w:rPr>
      </w:pPr>
      <w:r>
        <w:rPr>
          <w:rStyle w:val="FootnoteReference"/>
        </w:rPr>
        <w:footnoteRef/>
      </w:r>
      <w:hyperlink r:id="rId2" w:history="1">
        <w:r w:rsidRPr="00C7274E">
          <w:rPr>
            <w:rStyle w:val="Hyperlink"/>
          </w:rPr>
          <w:t>http://web.expasy.org/peptide_cutter/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7000FE0"/>
    <w:lvl w:ilvl="0">
      <w:start w:val="1"/>
      <w:numFmt w:val="decimal"/>
      <w:lvlText w:val="%1."/>
      <w:lvlJc w:val="left"/>
      <w:pPr>
        <w:tabs>
          <w:tab w:val="num" w:pos="360"/>
        </w:tabs>
        <w:ind w:left="360" w:hanging="360"/>
      </w:p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7A5990"/>
    <w:multiLevelType w:val="hybridMultilevel"/>
    <w:tmpl w:val="4606E84E"/>
    <w:lvl w:ilvl="0" w:tplc="9FEA43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054271"/>
    <w:multiLevelType w:val="hybridMultilevel"/>
    <w:tmpl w:val="21369FAC"/>
    <w:lvl w:ilvl="0" w:tplc="FDFEA674">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15:restartNumberingAfterBreak="0">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65FE2065"/>
    <w:multiLevelType w:val="hybridMultilevel"/>
    <w:tmpl w:val="0CB00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567"/>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9E4"/>
    <w:rsid w:val="00001CF2"/>
    <w:rsid w:val="0000247B"/>
    <w:rsid w:val="00003AA5"/>
    <w:rsid w:val="0000469B"/>
    <w:rsid w:val="00007CB7"/>
    <w:rsid w:val="000106BB"/>
    <w:rsid w:val="00010B6B"/>
    <w:rsid w:val="0001361C"/>
    <w:rsid w:val="0002039F"/>
    <w:rsid w:val="0002152C"/>
    <w:rsid w:val="0002718D"/>
    <w:rsid w:val="0002763B"/>
    <w:rsid w:val="00035FF3"/>
    <w:rsid w:val="00042085"/>
    <w:rsid w:val="00042434"/>
    <w:rsid w:val="00044F91"/>
    <w:rsid w:val="0004586E"/>
    <w:rsid w:val="00046E3F"/>
    <w:rsid w:val="00051021"/>
    <w:rsid w:val="00051ED9"/>
    <w:rsid w:val="000535A5"/>
    <w:rsid w:val="00054AC3"/>
    <w:rsid w:val="00057181"/>
    <w:rsid w:val="00062912"/>
    <w:rsid w:val="00063D6E"/>
    <w:rsid w:val="0006473A"/>
    <w:rsid w:val="00064B2D"/>
    <w:rsid w:val="00065F1F"/>
    <w:rsid w:val="00067389"/>
    <w:rsid w:val="00067664"/>
    <w:rsid w:val="00071095"/>
    <w:rsid w:val="00072261"/>
    <w:rsid w:val="00076D33"/>
    <w:rsid w:val="00077CEB"/>
    <w:rsid w:val="00086E28"/>
    <w:rsid w:val="00092CDA"/>
    <w:rsid w:val="00094535"/>
    <w:rsid w:val="000A27E9"/>
    <w:rsid w:val="000A3D8B"/>
    <w:rsid w:val="000A5DF8"/>
    <w:rsid w:val="000B1203"/>
    <w:rsid w:val="000B1B1E"/>
    <w:rsid w:val="000B4E25"/>
    <w:rsid w:val="000B4E9F"/>
    <w:rsid w:val="000B6AF2"/>
    <w:rsid w:val="000C3C47"/>
    <w:rsid w:val="000C50B9"/>
    <w:rsid w:val="000D005B"/>
    <w:rsid w:val="000D0DD2"/>
    <w:rsid w:val="000D31F4"/>
    <w:rsid w:val="000D3E01"/>
    <w:rsid w:val="000D6FD4"/>
    <w:rsid w:val="000D707E"/>
    <w:rsid w:val="000D7D67"/>
    <w:rsid w:val="000E0AE4"/>
    <w:rsid w:val="000E2621"/>
    <w:rsid w:val="000E3DBC"/>
    <w:rsid w:val="000F1B08"/>
    <w:rsid w:val="00102EC0"/>
    <w:rsid w:val="00103C2A"/>
    <w:rsid w:val="001065CC"/>
    <w:rsid w:val="0011078B"/>
    <w:rsid w:val="0011094D"/>
    <w:rsid w:val="00113CE3"/>
    <w:rsid w:val="00117522"/>
    <w:rsid w:val="001222D1"/>
    <w:rsid w:val="001253B9"/>
    <w:rsid w:val="0013209D"/>
    <w:rsid w:val="001343A9"/>
    <w:rsid w:val="00135301"/>
    <w:rsid w:val="00135482"/>
    <w:rsid w:val="00136D5E"/>
    <w:rsid w:val="001379C1"/>
    <w:rsid w:val="00143CF6"/>
    <w:rsid w:val="001502F9"/>
    <w:rsid w:val="001542D8"/>
    <w:rsid w:val="00166671"/>
    <w:rsid w:val="00171566"/>
    <w:rsid w:val="001720F9"/>
    <w:rsid w:val="001749D8"/>
    <w:rsid w:val="001749E6"/>
    <w:rsid w:val="00180C41"/>
    <w:rsid w:val="0018132E"/>
    <w:rsid w:val="00182C4C"/>
    <w:rsid w:val="00187287"/>
    <w:rsid w:val="0018785E"/>
    <w:rsid w:val="00190D35"/>
    <w:rsid w:val="00192E96"/>
    <w:rsid w:val="00193A7E"/>
    <w:rsid w:val="00196443"/>
    <w:rsid w:val="00197D8D"/>
    <w:rsid w:val="001A0BA8"/>
    <w:rsid w:val="001A1291"/>
    <w:rsid w:val="001A1A37"/>
    <w:rsid w:val="001A1A75"/>
    <w:rsid w:val="001A48C9"/>
    <w:rsid w:val="001A6BB8"/>
    <w:rsid w:val="001A7E9A"/>
    <w:rsid w:val="001B0091"/>
    <w:rsid w:val="001B1F23"/>
    <w:rsid w:val="001B7852"/>
    <w:rsid w:val="001B7FE1"/>
    <w:rsid w:val="001C27A3"/>
    <w:rsid w:val="001C2BC9"/>
    <w:rsid w:val="001C5295"/>
    <w:rsid w:val="001D0AFA"/>
    <w:rsid w:val="001D1ED2"/>
    <w:rsid w:val="001D36E0"/>
    <w:rsid w:val="001D4FF3"/>
    <w:rsid w:val="001D7AAD"/>
    <w:rsid w:val="001E09FA"/>
    <w:rsid w:val="001E1646"/>
    <w:rsid w:val="001E27B7"/>
    <w:rsid w:val="001E3512"/>
    <w:rsid w:val="001F01C9"/>
    <w:rsid w:val="001F46CB"/>
    <w:rsid w:val="001F49E8"/>
    <w:rsid w:val="002002D5"/>
    <w:rsid w:val="002033A1"/>
    <w:rsid w:val="00203540"/>
    <w:rsid w:val="002040F1"/>
    <w:rsid w:val="00205104"/>
    <w:rsid w:val="0020648B"/>
    <w:rsid w:val="00207D79"/>
    <w:rsid w:val="00211F0F"/>
    <w:rsid w:val="00212624"/>
    <w:rsid w:val="002148F2"/>
    <w:rsid w:val="0021612B"/>
    <w:rsid w:val="0022083A"/>
    <w:rsid w:val="00221CA3"/>
    <w:rsid w:val="00221D07"/>
    <w:rsid w:val="00222CBC"/>
    <w:rsid w:val="00224753"/>
    <w:rsid w:val="00224C03"/>
    <w:rsid w:val="00224D92"/>
    <w:rsid w:val="002256B7"/>
    <w:rsid w:val="00226264"/>
    <w:rsid w:val="00227E4A"/>
    <w:rsid w:val="00234426"/>
    <w:rsid w:val="0024582E"/>
    <w:rsid w:val="00245C56"/>
    <w:rsid w:val="00247B3E"/>
    <w:rsid w:val="00253784"/>
    <w:rsid w:val="002547EF"/>
    <w:rsid w:val="00256D65"/>
    <w:rsid w:val="0026147E"/>
    <w:rsid w:val="00263679"/>
    <w:rsid w:val="0026379D"/>
    <w:rsid w:val="00270D46"/>
    <w:rsid w:val="00271636"/>
    <w:rsid w:val="00271F00"/>
    <w:rsid w:val="00273A80"/>
    <w:rsid w:val="00275CF7"/>
    <w:rsid w:val="00280F30"/>
    <w:rsid w:val="002843E6"/>
    <w:rsid w:val="0028553C"/>
    <w:rsid w:val="002866DC"/>
    <w:rsid w:val="0029204E"/>
    <w:rsid w:val="0029631C"/>
    <w:rsid w:val="002A0194"/>
    <w:rsid w:val="002A3314"/>
    <w:rsid w:val="002A3E87"/>
    <w:rsid w:val="002A5368"/>
    <w:rsid w:val="002A5480"/>
    <w:rsid w:val="002A5F8B"/>
    <w:rsid w:val="002A7F6C"/>
    <w:rsid w:val="002B53B5"/>
    <w:rsid w:val="002B7E2C"/>
    <w:rsid w:val="002C3BF4"/>
    <w:rsid w:val="002C6DC3"/>
    <w:rsid w:val="002D4741"/>
    <w:rsid w:val="002D6809"/>
    <w:rsid w:val="002E2590"/>
    <w:rsid w:val="002E7389"/>
    <w:rsid w:val="002F3198"/>
    <w:rsid w:val="002F4DEA"/>
    <w:rsid w:val="002F52E0"/>
    <w:rsid w:val="002F639F"/>
    <w:rsid w:val="002F6488"/>
    <w:rsid w:val="002F6A53"/>
    <w:rsid w:val="002F6BEC"/>
    <w:rsid w:val="00300F8C"/>
    <w:rsid w:val="00305833"/>
    <w:rsid w:val="003062EE"/>
    <w:rsid w:val="00320839"/>
    <w:rsid w:val="003213F9"/>
    <w:rsid w:val="0032248D"/>
    <w:rsid w:val="00323DBF"/>
    <w:rsid w:val="00326D85"/>
    <w:rsid w:val="00326EFF"/>
    <w:rsid w:val="003276FA"/>
    <w:rsid w:val="00327A94"/>
    <w:rsid w:val="00327E1F"/>
    <w:rsid w:val="003309A8"/>
    <w:rsid w:val="003325B4"/>
    <w:rsid w:val="00332681"/>
    <w:rsid w:val="0033272E"/>
    <w:rsid w:val="00332B12"/>
    <w:rsid w:val="00340134"/>
    <w:rsid w:val="00341C2B"/>
    <w:rsid w:val="0034662C"/>
    <w:rsid w:val="00350FE9"/>
    <w:rsid w:val="00351B07"/>
    <w:rsid w:val="00352CF2"/>
    <w:rsid w:val="00352FC9"/>
    <w:rsid w:val="00353119"/>
    <w:rsid w:val="003626AF"/>
    <w:rsid w:val="00363932"/>
    <w:rsid w:val="0036477F"/>
    <w:rsid w:val="00364841"/>
    <w:rsid w:val="00367888"/>
    <w:rsid w:val="00371B29"/>
    <w:rsid w:val="0037462F"/>
    <w:rsid w:val="0037656B"/>
    <w:rsid w:val="003840D1"/>
    <w:rsid w:val="00391769"/>
    <w:rsid w:val="0039487B"/>
    <w:rsid w:val="003953E1"/>
    <w:rsid w:val="003956B3"/>
    <w:rsid w:val="003A0AE0"/>
    <w:rsid w:val="003A16A7"/>
    <w:rsid w:val="003A68BE"/>
    <w:rsid w:val="003B0281"/>
    <w:rsid w:val="003B1805"/>
    <w:rsid w:val="003B3C9D"/>
    <w:rsid w:val="003B78E0"/>
    <w:rsid w:val="003C344C"/>
    <w:rsid w:val="003C3B4A"/>
    <w:rsid w:val="003C4969"/>
    <w:rsid w:val="003C5617"/>
    <w:rsid w:val="003D24F4"/>
    <w:rsid w:val="003D3B47"/>
    <w:rsid w:val="003D77CE"/>
    <w:rsid w:val="003D7E3C"/>
    <w:rsid w:val="003E2E0A"/>
    <w:rsid w:val="003E41D5"/>
    <w:rsid w:val="003E427F"/>
    <w:rsid w:val="003E46BA"/>
    <w:rsid w:val="003E7D22"/>
    <w:rsid w:val="003F1B0D"/>
    <w:rsid w:val="003F4D2E"/>
    <w:rsid w:val="003F67F5"/>
    <w:rsid w:val="003F74C1"/>
    <w:rsid w:val="00405B1A"/>
    <w:rsid w:val="00405E1B"/>
    <w:rsid w:val="00406408"/>
    <w:rsid w:val="004101A3"/>
    <w:rsid w:val="00410C76"/>
    <w:rsid w:val="00411907"/>
    <w:rsid w:val="0041273B"/>
    <w:rsid w:val="004139B9"/>
    <w:rsid w:val="00413CA8"/>
    <w:rsid w:val="00416B02"/>
    <w:rsid w:val="00417EE3"/>
    <w:rsid w:val="004207EB"/>
    <w:rsid w:val="00420ED3"/>
    <w:rsid w:val="00437276"/>
    <w:rsid w:val="00440C20"/>
    <w:rsid w:val="00447FC6"/>
    <w:rsid w:val="0045155C"/>
    <w:rsid w:val="0045294B"/>
    <w:rsid w:val="00456B54"/>
    <w:rsid w:val="00456D0D"/>
    <w:rsid w:val="00460133"/>
    <w:rsid w:val="00460400"/>
    <w:rsid w:val="004638F4"/>
    <w:rsid w:val="00464176"/>
    <w:rsid w:val="00464643"/>
    <w:rsid w:val="004702EF"/>
    <w:rsid w:val="00470593"/>
    <w:rsid w:val="00475A57"/>
    <w:rsid w:val="00477E43"/>
    <w:rsid w:val="00486793"/>
    <w:rsid w:val="004961DE"/>
    <w:rsid w:val="004A0207"/>
    <w:rsid w:val="004A2037"/>
    <w:rsid w:val="004A5A20"/>
    <w:rsid w:val="004B024F"/>
    <w:rsid w:val="004B5B44"/>
    <w:rsid w:val="004C2CE7"/>
    <w:rsid w:val="004C39E5"/>
    <w:rsid w:val="004C43A1"/>
    <w:rsid w:val="004C78B3"/>
    <w:rsid w:val="004D0410"/>
    <w:rsid w:val="004D3AD6"/>
    <w:rsid w:val="004D400C"/>
    <w:rsid w:val="004E35D1"/>
    <w:rsid w:val="004E4C45"/>
    <w:rsid w:val="004F42CE"/>
    <w:rsid w:val="004F4F98"/>
    <w:rsid w:val="004F69F6"/>
    <w:rsid w:val="004F79AC"/>
    <w:rsid w:val="004F7CE3"/>
    <w:rsid w:val="0050069D"/>
    <w:rsid w:val="005017CF"/>
    <w:rsid w:val="00504790"/>
    <w:rsid w:val="0050484F"/>
    <w:rsid w:val="005050E0"/>
    <w:rsid w:val="005065F3"/>
    <w:rsid w:val="00507BC5"/>
    <w:rsid w:val="0051177D"/>
    <w:rsid w:val="00516FD3"/>
    <w:rsid w:val="00517903"/>
    <w:rsid w:val="005207D8"/>
    <w:rsid w:val="00521798"/>
    <w:rsid w:val="005301FC"/>
    <w:rsid w:val="005303D9"/>
    <w:rsid w:val="005324B7"/>
    <w:rsid w:val="0053464E"/>
    <w:rsid w:val="00534832"/>
    <w:rsid w:val="00535162"/>
    <w:rsid w:val="00536192"/>
    <w:rsid w:val="00541274"/>
    <w:rsid w:val="0054272D"/>
    <w:rsid w:val="00544F8D"/>
    <w:rsid w:val="00552F68"/>
    <w:rsid w:val="00555C33"/>
    <w:rsid w:val="00556E37"/>
    <w:rsid w:val="00562917"/>
    <w:rsid w:val="00562F9F"/>
    <w:rsid w:val="00563C0E"/>
    <w:rsid w:val="00564C1D"/>
    <w:rsid w:val="00573A32"/>
    <w:rsid w:val="00573ECD"/>
    <w:rsid w:val="0057615C"/>
    <w:rsid w:val="00577508"/>
    <w:rsid w:val="00580593"/>
    <w:rsid w:val="00585EA4"/>
    <w:rsid w:val="00586148"/>
    <w:rsid w:val="00586228"/>
    <w:rsid w:val="00590FC3"/>
    <w:rsid w:val="00593248"/>
    <w:rsid w:val="00594FE1"/>
    <w:rsid w:val="005A13A0"/>
    <w:rsid w:val="005A1D97"/>
    <w:rsid w:val="005A58F3"/>
    <w:rsid w:val="005A6959"/>
    <w:rsid w:val="005B0E49"/>
    <w:rsid w:val="005B29AB"/>
    <w:rsid w:val="005B6AF4"/>
    <w:rsid w:val="005B7A73"/>
    <w:rsid w:val="005C04CB"/>
    <w:rsid w:val="005C0AC0"/>
    <w:rsid w:val="005C2FBE"/>
    <w:rsid w:val="005C35F6"/>
    <w:rsid w:val="005C3848"/>
    <w:rsid w:val="005C75D5"/>
    <w:rsid w:val="005D16AD"/>
    <w:rsid w:val="005D1A08"/>
    <w:rsid w:val="005D1C87"/>
    <w:rsid w:val="005D3042"/>
    <w:rsid w:val="005D52C1"/>
    <w:rsid w:val="005D60E7"/>
    <w:rsid w:val="005D6931"/>
    <w:rsid w:val="005D72E1"/>
    <w:rsid w:val="005E35B1"/>
    <w:rsid w:val="005E3F90"/>
    <w:rsid w:val="005E462B"/>
    <w:rsid w:val="005E5DE4"/>
    <w:rsid w:val="005E660D"/>
    <w:rsid w:val="005E6E16"/>
    <w:rsid w:val="005E7B44"/>
    <w:rsid w:val="005F0929"/>
    <w:rsid w:val="005F1923"/>
    <w:rsid w:val="005F400E"/>
    <w:rsid w:val="005F47E9"/>
    <w:rsid w:val="005F5786"/>
    <w:rsid w:val="005F6A6B"/>
    <w:rsid w:val="005F7342"/>
    <w:rsid w:val="00602599"/>
    <w:rsid w:val="00603A08"/>
    <w:rsid w:val="00604C95"/>
    <w:rsid w:val="00610A3C"/>
    <w:rsid w:val="00611C95"/>
    <w:rsid w:val="00613766"/>
    <w:rsid w:val="00626605"/>
    <w:rsid w:val="006269BC"/>
    <w:rsid w:val="00627F48"/>
    <w:rsid w:val="00630C23"/>
    <w:rsid w:val="00632CB1"/>
    <w:rsid w:val="006340EA"/>
    <w:rsid w:val="006460AB"/>
    <w:rsid w:val="00652CD6"/>
    <w:rsid w:val="00652D6B"/>
    <w:rsid w:val="006576B9"/>
    <w:rsid w:val="006630A2"/>
    <w:rsid w:val="00663FCF"/>
    <w:rsid w:val="006652A2"/>
    <w:rsid w:val="00665391"/>
    <w:rsid w:val="006740A9"/>
    <w:rsid w:val="00674566"/>
    <w:rsid w:val="006752AD"/>
    <w:rsid w:val="00680184"/>
    <w:rsid w:val="00684F16"/>
    <w:rsid w:val="00690206"/>
    <w:rsid w:val="00690691"/>
    <w:rsid w:val="006937FF"/>
    <w:rsid w:val="00695983"/>
    <w:rsid w:val="0069648D"/>
    <w:rsid w:val="0069728F"/>
    <w:rsid w:val="0069794D"/>
    <w:rsid w:val="006A1212"/>
    <w:rsid w:val="006A36B6"/>
    <w:rsid w:val="006A3A0C"/>
    <w:rsid w:val="006A48A7"/>
    <w:rsid w:val="006A558D"/>
    <w:rsid w:val="006A62D0"/>
    <w:rsid w:val="006B3D19"/>
    <w:rsid w:val="006B4BA1"/>
    <w:rsid w:val="006B55D2"/>
    <w:rsid w:val="006B5EBE"/>
    <w:rsid w:val="006C2969"/>
    <w:rsid w:val="006C5CF5"/>
    <w:rsid w:val="006D7D3B"/>
    <w:rsid w:val="006E0264"/>
    <w:rsid w:val="006E0740"/>
    <w:rsid w:val="006E3FDA"/>
    <w:rsid w:val="006E468A"/>
    <w:rsid w:val="006E691A"/>
    <w:rsid w:val="006E7B70"/>
    <w:rsid w:val="006F0371"/>
    <w:rsid w:val="006F27BB"/>
    <w:rsid w:val="006F4A82"/>
    <w:rsid w:val="006F62B2"/>
    <w:rsid w:val="006F7FA2"/>
    <w:rsid w:val="0070020E"/>
    <w:rsid w:val="00701954"/>
    <w:rsid w:val="0070373B"/>
    <w:rsid w:val="00707B61"/>
    <w:rsid w:val="00707E9A"/>
    <w:rsid w:val="0071484C"/>
    <w:rsid w:val="00714CE8"/>
    <w:rsid w:val="00723E71"/>
    <w:rsid w:val="00724D00"/>
    <w:rsid w:val="00724FA4"/>
    <w:rsid w:val="00730357"/>
    <w:rsid w:val="00730800"/>
    <w:rsid w:val="00734C65"/>
    <w:rsid w:val="00742E5E"/>
    <w:rsid w:val="007436F6"/>
    <w:rsid w:val="0074782E"/>
    <w:rsid w:val="00754D0D"/>
    <w:rsid w:val="0075550B"/>
    <w:rsid w:val="00755B13"/>
    <w:rsid w:val="007566F7"/>
    <w:rsid w:val="007602AA"/>
    <w:rsid w:val="00760CF0"/>
    <w:rsid w:val="00762BD2"/>
    <w:rsid w:val="007652EF"/>
    <w:rsid w:val="00772BDC"/>
    <w:rsid w:val="007758C7"/>
    <w:rsid w:val="007768AD"/>
    <w:rsid w:val="00780792"/>
    <w:rsid w:val="00786674"/>
    <w:rsid w:val="00791E97"/>
    <w:rsid w:val="0079436F"/>
    <w:rsid w:val="00796562"/>
    <w:rsid w:val="00796672"/>
    <w:rsid w:val="007A2167"/>
    <w:rsid w:val="007A44B4"/>
    <w:rsid w:val="007A51F5"/>
    <w:rsid w:val="007A7D3D"/>
    <w:rsid w:val="007B225D"/>
    <w:rsid w:val="007B7C28"/>
    <w:rsid w:val="007C1567"/>
    <w:rsid w:val="007C174F"/>
    <w:rsid w:val="007C1C64"/>
    <w:rsid w:val="007C7C4B"/>
    <w:rsid w:val="007D03EA"/>
    <w:rsid w:val="007D04B0"/>
    <w:rsid w:val="007D4FC5"/>
    <w:rsid w:val="007D73EB"/>
    <w:rsid w:val="007D788A"/>
    <w:rsid w:val="007E1B3E"/>
    <w:rsid w:val="007E48BC"/>
    <w:rsid w:val="007E79F7"/>
    <w:rsid w:val="007F3630"/>
    <w:rsid w:val="007F3A86"/>
    <w:rsid w:val="007F4018"/>
    <w:rsid w:val="00800518"/>
    <w:rsid w:val="00807559"/>
    <w:rsid w:val="00810339"/>
    <w:rsid w:val="00812798"/>
    <w:rsid w:val="008156E7"/>
    <w:rsid w:val="00820A39"/>
    <w:rsid w:val="0082536E"/>
    <w:rsid w:val="008327DF"/>
    <w:rsid w:val="00834D65"/>
    <w:rsid w:val="008401DC"/>
    <w:rsid w:val="008450BC"/>
    <w:rsid w:val="008507D7"/>
    <w:rsid w:val="0085334B"/>
    <w:rsid w:val="00860415"/>
    <w:rsid w:val="0086231B"/>
    <w:rsid w:val="00863AD8"/>
    <w:rsid w:val="00867513"/>
    <w:rsid w:val="00870214"/>
    <w:rsid w:val="00871021"/>
    <w:rsid w:val="008769B2"/>
    <w:rsid w:val="00877CB3"/>
    <w:rsid w:val="00880392"/>
    <w:rsid w:val="00880984"/>
    <w:rsid w:val="00885C51"/>
    <w:rsid w:val="00885EB0"/>
    <w:rsid w:val="00891F4B"/>
    <w:rsid w:val="0089264A"/>
    <w:rsid w:val="00894547"/>
    <w:rsid w:val="00896B85"/>
    <w:rsid w:val="00897A69"/>
    <w:rsid w:val="008A22BE"/>
    <w:rsid w:val="008B0C1D"/>
    <w:rsid w:val="008B1CAD"/>
    <w:rsid w:val="008B2847"/>
    <w:rsid w:val="008B3AC2"/>
    <w:rsid w:val="008B3EEC"/>
    <w:rsid w:val="008B5B1C"/>
    <w:rsid w:val="008B74A9"/>
    <w:rsid w:val="008C1B36"/>
    <w:rsid w:val="008C6C40"/>
    <w:rsid w:val="008D06C6"/>
    <w:rsid w:val="008D41F2"/>
    <w:rsid w:val="008D6144"/>
    <w:rsid w:val="008E1A1B"/>
    <w:rsid w:val="008E5E51"/>
    <w:rsid w:val="008E6250"/>
    <w:rsid w:val="008F04A4"/>
    <w:rsid w:val="008F2CEA"/>
    <w:rsid w:val="00900049"/>
    <w:rsid w:val="009011EB"/>
    <w:rsid w:val="00901F9B"/>
    <w:rsid w:val="00902AF6"/>
    <w:rsid w:val="00906C25"/>
    <w:rsid w:val="00907D6F"/>
    <w:rsid w:val="00910D07"/>
    <w:rsid w:val="00913BB5"/>
    <w:rsid w:val="009146B9"/>
    <w:rsid w:val="00916D98"/>
    <w:rsid w:val="009170D0"/>
    <w:rsid w:val="00917B57"/>
    <w:rsid w:val="00917F53"/>
    <w:rsid w:val="00920249"/>
    <w:rsid w:val="00924C80"/>
    <w:rsid w:val="009272DE"/>
    <w:rsid w:val="00927457"/>
    <w:rsid w:val="00930F00"/>
    <w:rsid w:val="009328CA"/>
    <w:rsid w:val="00932F14"/>
    <w:rsid w:val="00933595"/>
    <w:rsid w:val="00935042"/>
    <w:rsid w:val="009359CC"/>
    <w:rsid w:val="00935A66"/>
    <w:rsid w:val="00935E22"/>
    <w:rsid w:val="00937711"/>
    <w:rsid w:val="0094247F"/>
    <w:rsid w:val="00942D60"/>
    <w:rsid w:val="00944BFA"/>
    <w:rsid w:val="00945E8E"/>
    <w:rsid w:val="0095158C"/>
    <w:rsid w:val="00951B4B"/>
    <w:rsid w:val="00953013"/>
    <w:rsid w:val="00955FAD"/>
    <w:rsid w:val="0096523B"/>
    <w:rsid w:val="00966EE3"/>
    <w:rsid w:val="00972135"/>
    <w:rsid w:val="00972D06"/>
    <w:rsid w:val="0097351C"/>
    <w:rsid w:val="009737C3"/>
    <w:rsid w:val="00973F5C"/>
    <w:rsid w:val="00977F7C"/>
    <w:rsid w:val="0098358F"/>
    <w:rsid w:val="00983D8C"/>
    <w:rsid w:val="009847BE"/>
    <w:rsid w:val="00992DCE"/>
    <w:rsid w:val="009951EF"/>
    <w:rsid w:val="009A391C"/>
    <w:rsid w:val="009A3B51"/>
    <w:rsid w:val="009A5045"/>
    <w:rsid w:val="009A50F2"/>
    <w:rsid w:val="009B06EB"/>
    <w:rsid w:val="009B13C8"/>
    <w:rsid w:val="009B6595"/>
    <w:rsid w:val="009C4B43"/>
    <w:rsid w:val="009C6F07"/>
    <w:rsid w:val="009C792C"/>
    <w:rsid w:val="009D2427"/>
    <w:rsid w:val="009D3E98"/>
    <w:rsid w:val="009D5F76"/>
    <w:rsid w:val="009D62DB"/>
    <w:rsid w:val="009E0A61"/>
    <w:rsid w:val="009E3010"/>
    <w:rsid w:val="009E45B9"/>
    <w:rsid w:val="009E7B57"/>
    <w:rsid w:val="009F007E"/>
    <w:rsid w:val="009F0B72"/>
    <w:rsid w:val="009F14F0"/>
    <w:rsid w:val="009F4ADD"/>
    <w:rsid w:val="009F7065"/>
    <w:rsid w:val="00A00536"/>
    <w:rsid w:val="00A037C5"/>
    <w:rsid w:val="00A0749F"/>
    <w:rsid w:val="00A074B0"/>
    <w:rsid w:val="00A07D91"/>
    <w:rsid w:val="00A07EAC"/>
    <w:rsid w:val="00A13F3A"/>
    <w:rsid w:val="00A1538E"/>
    <w:rsid w:val="00A204C5"/>
    <w:rsid w:val="00A255F3"/>
    <w:rsid w:val="00A31C99"/>
    <w:rsid w:val="00A346E7"/>
    <w:rsid w:val="00A362AC"/>
    <w:rsid w:val="00A4175D"/>
    <w:rsid w:val="00A46008"/>
    <w:rsid w:val="00A46915"/>
    <w:rsid w:val="00A5291C"/>
    <w:rsid w:val="00A56746"/>
    <w:rsid w:val="00A56DC7"/>
    <w:rsid w:val="00A61B6C"/>
    <w:rsid w:val="00A6234A"/>
    <w:rsid w:val="00A623D9"/>
    <w:rsid w:val="00A7051C"/>
    <w:rsid w:val="00A7156D"/>
    <w:rsid w:val="00A7183F"/>
    <w:rsid w:val="00A74B42"/>
    <w:rsid w:val="00A74FD1"/>
    <w:rsid w:val="00A77BFA"/>
    <w:rsid w:val="00A832E2"/>
    <w:rsid w:val="00A84A58"/>
    <w:rsid w:val="00A84A96"/>
    <w:rsid w:val="00A912BD"/>
    <w:rsid w:val="00A91A9D"/>
    <w:rsid w:val="00AA0A88"/>
    <w:rsid w:val="00AA2F70"/>
    <w:rsid w:val="00AA3A87"/>
    <w:rsid w:val="00AB2719"/>
    <w:rsid w:val="00AB4E36"/>
    <w:rsid w:val="00AC2908"/>
    <w:rsid w:val="00AC3A31"/>
    <w:rsid w:val="00AC5169"/>
    <w:rsid w:val="00AC6EE5"/>
    <w:rsid w:val="00AD4F3F"/>
    <w:rsid w:val="00AD52C2"/>
    <w:rsid w:val="00AD6050"/>
    <w:rsid w:val="00AD7425"/>
    <w:rsid w:val="00AD7A4B"/>
    <w:rsid w:val="00AE2DFD"/>
    <w:rsid w:val="00AF06FC"/>
    <w:rsid w:val="00AF3391"/>
    <w:rsid w:val="00AF387F"/>
    <w:rsid w:val="00AF396C"/>
    <w:rsid w:val="00B00E7F"/>
    <w:rsid w:val="00B035B4"/>
    <w:rsid w:val="00B05039"/>
    <w:rsid w:val="00B113C9"/>
    <w:rsid w:val="00B129F3"/>
    <w:rsid w:val="00B12F1E"/>
    <w:rsid w:val="00B12FDC"/>
    <w:rsid w:val="00B14E7A"/>
    <w:rsid w:val="00B173DA"/>
    <w:rsid w:val="00B21106"/>
    <w:rsid w:val="00B21DCC"/>
    <w:rsid w:val="00B25F37"/>
    <w:rsid w:val="00B308D2"/>
    <w:rsid w:val="00B32126"/>
    <w:rsid w:val="00B35015"/>
    <w:rsid w:val="00B377BC"/>
    <w:rsid w:val="00B37BF0"/>
    <w:rsid w:val="00B421AE"/>
    <w:rsid w:val="00B44422"/>
    <w:rsid w:val="00B462D8"/>
    <w:rsid w:val="00B46EA0"/>
    <w:rsid w:val="00B47CE2"/>
    <w:rsid w:val="00B52A64"/>
    <w:rsid w:val="00B60FA0"/>
    <w:rsid w:val="00B62844"/>
    <w:rsid w:val="00B6306E"/>
    <w:rsid w:val="00B731D3"/>
    <w:rsid w:val="00B7336D"/>
    <w:rsid w:val="00B77B23"/>
    <w:rsid w:val="00B814AC"/>
    <w:rsid w:val="00B81D1E"/>
    <w:rsid w:val="00B839A3"/>
    <w:rsid w:val="00B83D7E"/>
    <w:rsid w:val="00B83E98"/>
    <w:rsid w:val="00B85735"/>
    <w:rsid w:val="00B87516"/>
    <w:rsid w:val="00B902BD"/>
    <w:rsid w:val="00B96633"/>
    <w:rsid w:val="00BA1C8A"/>
    <w:rsid w:val="00BA24E2"/>
    <w:rsid w:val="00BA3085"/>
    <w:rsid w:val="00BA4E24"/>
    <w:rsid w:val="00BA6605"/>
    <w:rsid w:val="00BA6CAF"/>
    <w:rsid w:val="00BA7FF5"/>
    <w:rsid w:val="00BB22C0"/>
    <w:rsid w:val="00BB7D4F"/>
    <w:rsid w:val="00BC00F3"/>
    <w:rsid w:val="00BC2A49"/>
    <w:rsid w:val="00BD0C41"/>
    <w:rsid w:val="00BD223A"/>
    <w:rsid w:val="00BD281E"/>
    <w:rsid w:val="00BD2A39"/>
    <w:rsid w:val="00BD2E80"/>
    <w:rsid w:val="00BD602B"/>
    <w:rsid w:val="00BE11B8"/>
    <w:rsid w:val="00BE42B4"/>
    <w:rsid w:val="00BE4675"/>
    <w:rsid w:val="00BE4FD7"/>
    <w:rsid w:val="00BE5ACA"/>
    <w:rsid w:val="00BF127E"/>
    <w:rsid w:val="00BF47D2"/>
    <w:rsid w:val="00BF6E0D"/>
    <w:rsid w:val="00BF6FB9"/>
    <w:rsid w:val="00BF7FF0"/>
    <w:rsid w:val="00C02066"/>
    <w:rsid w:val="00C04815"/>
    <w:rsid w:val="00C057F4"/>
    <w:rsid w:val="00C121FD"/>
    <w:rsid w:val="00C12502"/>
    <w:rsid w:val="00C209C4"/>
    <w:rsid w:val="00C20DBF"/>
    <w:rsid w:val="00C21A46"/>
    <w:rsid w:val="00C24D62"/>
    <w:rsid w:val="00C300DB"/>
    <w:rsid w:val="00C31503"/>
    <w:rsid w:val="00C35EA1"/>
    <w:rsid w:val="00C36578"/>
    <w:rsid w:val="00C40AA5"/>
    <w:rsid w:val="00C40CFA"/>
    <w:rsid w:val="00C41D9C"/>
    <w:rsid w:val="00C4657E"/>
    <w:rsid w:val="00C46F70"/>
    <w:rsid w:val="00C476D0"/>
    <w:rsid w:val="00C51CAF"/>
    <w:rsid w:val="00C55CC2"/>
    <w:rsid w:val="00C5715D"/>
    <w:rsid w:val="00C61AC1"/>
    <w:rsid w:val="00C65634"/>
    <w:rsid w:val="00C6698F"/>
    <w:rsid w:val="00C66C3C"/>
    <w:rsid w:val="00C71866"/>
    <w:rsid w:val="00C73B78"/>
    <w:rsid w:val="00C74AFA"/>
    <w:rsid w:val="00C75DE1"/>
    <w:rsid w:val="00C80C8F"/>
    <w:rsid w:val="00C836E3"/>
    <w:rsid w:val="00C8466F"/>
    <w:rsid w:val="00C84B06"/>
    <w:rsid w:val="00C86577"/>
    <w:rsid w:val="00C90E49"/>
    <w:rsid w:val="00C92E07"/>
    <w:rsid w:val="00C96868"/>
    <w:rsid w:val="00C96E75"/>
    <w:rsid w:val="00CA0416"/>
    <w:rsid w:val="00CA159D"/>
    <w:rsid w:val="00CA4998"/>
    <w:rsid w:val="00CA641D"/>
    <w:rsid w:val="00CB0819"/>
    <w:rsid w:val="00CB0DEF"/>
    <w:rsid w:val="00CB2480"/>
    <w:rsid w:val="00CB29A2"/>
    <w:rsid w:val="00CB68D9"/>
    <w:rsid w:val="00CC11CA"/>
    <w:rsid w:val="00CC18E6"/>
    <w:rsid w:val="00CC3540"/>
    <w:rsid w:val="00CC560B"/>
    <w:rsid w:val="00CC5883"/>
    <w:rsid w:val="00CC75E2"/>
    <w:rsid w:val="00CD2989"/>
    <w:rsid w:val="00CD46EB"/>
    <w:rsid w:val="00CD7EBF"/>
    <w:rsid w:val="00CE1442"/>
    <w:rsid w:val="00CE2BE1"/>
    <w:rsid w:val="00CE4187"/>
    <w:rsid w:val="00CF3882"/>
    <w:rsid w:val="00CF5AD1"/>
    <w:rsid w:val="00CF72CF"/>
    <w:rsid w:val="00D02B85"/>
    <w:rsid w:val="00D042CE"/>
    <w:rsid w:val="00D0431B"/>
    <w:rsid w:val="00D056F1"/>
    <w:rsid w:val="00D05BE4"/>
    <w:rsid w:val="00D05D4A"/>
    <w:rsid w:val="00D100B3"/>
    <w:rsid w:val="00D10CD3"/>
    <w:rsid w:val="00D11171"/>
    <w:rsid w:val="00D117FA"/>
    <w:rsid w:val="00D12CCE"/>
    <w:rsid w:val="00D17E9A"/>
    <w:rsid w:val="00D22F3C"/>
    <w:rsid w:val="00D23DB6"/>
    <w:rsid w:val="00D24EA2"/>
    <w:rsid w:val="00D276F7"/>
    <w:rsid w:val="00D36CD2"/>
    <w:rsid w:val="00D37EAE"/>
    <w:rsid w:val="00D42B65"/>
    <w:rsid w:val="00D43FE6"/>
    <w:rsid w:val="00D4446F"/>
    <w:rsid w:val="00D4785D"/>
    <w:rsid w:val="00D47E87"/>
    <w:rsid w:val="00D51A95"/>
    <w:rsid w:val="00D60568"/>
    <w:rsid w:val="00D64BA4"/>
    <w:rsid w:val="00D67005"/>
    <w:rsid w:val="00D672F6"/>
    <w:rsid w:val="00D70C7A"/>
    <w:rsid w:val="00D81327"/>
    <w:rsid w:val="00D81D38"/>
    <w:rsid w:val="00D841C9"/>
    <w:rsid w:val="00D84597"/>
    <w:rsid w:val="00D91BB7"/>
    <w:rsid w:val="00D9620E"/>
    <w:rsid w:val="00DA10A8"/>
    <w:rsid w:val="00DB1E08"/>
    <w:rsid w:val="00DB2973"/>
    <w:rsid w:val="00DB37E3"/>
    <w:rsid w:val="00DC1B56"/>
    <w:rsid w:val="00DC202E"/>
    <w:rsid w:val="00DC2129"/>
    <w:rsid w:val="00DC269A"/>
    <w:rsid w:val="00DC3503"/>
    <w:rsid w:val="00DC36BC"/>
    <w:rsid w:val="00DC55C1"/>
    <w:rsid w:val="00DC6570"/>
    <w:rsid w:val="00DD3C5E"/>
    <w:rsid w:val="00DD5393"/>
    <w:rsid w:val="00DD6AE2"/>
    <w:rsid w:val="00DE22C0"/>
    <w:rsid w:val="00DE44F9"/>
    <w:rsid w:val="00DE4C47"/>
    <w:rsid w:val="00DE4D8E"/>
    <w:rsid w:val="00DE5BDF"/>
    <w:rsid w:val="00DF237A"/>
    <w:rsid w:val="00DF25C3"/>
    <w:rsid w:val="00DF25D3"/>
    <w:rsid w:val="00DF4723"/>
    <w:rsid w:val="00DF4C65"/>
    <w:rsid w:val="00E019F3"/>
    <w:rsid w:val="00E025FA"/>
    <w:rsid w:val="00E04062"/>
    <w:rsid w:val="00E04077"/>
    <w:rsid w:val="00E063C6"/>
    <w:rsid w:val="00E066BA"/>
    <w:rsid w:val="00E1025B"/>
    <w:rsid w:val="00E13BCA"/>
    <w:rsid w:val="00E170FD"/>
    <w:rsid w:val="00E17444"/>
    <w:rsid w:val="00E2003B"/>
    <w:rsid w:val="00E203C2"/>
    <w:rsid w:val="00E20AC1"/>
    <w:rsid w:val="00E233E3"/>
    <w:rsid w:val="00E23774"/>
    <w:rsid w:val="00E279D8"/>
    <w:rsid w:val="00E317DB"/>
    <w:rsid w:val="00E319B1"/>
    <w:rsid w:val="00E34692"/>
    <w:rsid w:val="00E36CA0"/>
    <w:rsid w:val="00E37249"/>
    <w:rsid w:val="00E421F2"/>
    <w:rsid w:val="00E44E0D"/>
    <w:rsid w:val="00E465C0"/>
    <w:rsid w:val="00E50CCE"/>
    <w:rsid w:val="00E5492F"/>
    <w:rsid w:val="00E62DEF"/>
    <w:rsid w:val="00E6361E"/>
    <w:rsid w:val="00E64C37"/>
    <w:rsid w:val="00E6778E"/>
    <w:rsid w:val="00E70A86"/>
    <w:rsid w:val="00E729B3"/>
    <w:rsid w:val="00E729B9"/>
    <w:rsid w:val="00E743CF"/>
    <w:rsid w:val="00E777EC"/>
    <w:rsid w:val="00E808B1"/>
    <w:rsid w:val="00E80F21"/>
    <w:rsid w:val="00E80FCD"/>
    <w:rsid w:val="00E84917"/>
    <w:rsid w:val="00E912AD"/>
    <w:rsid w:val="00E9148E"/>
    <w:rsid w:val="00E9463F"/>
    <w:rsid w:val="00E95E00"/>
    <w:rsid w:val="00E9693C"/>
    <w:rsid w:val="00E973E0"/>
    <w:rsid w:val="00EA013F"/>
    <w:rsid w:val="00EA05E3"/>
    <w:rsid w:val="00EA08D6"/>
    <w:rsid w:val="00EA7F2F"/>
    <w:rsid w:val="00EB4372"/>
    <w:rsid w:val="00EB5909"/>
    <w:rsid w:val="00EB77BE"/>
    <w:rsid w:val="00EC00DE"/>
    <w:rsid w:val="00EC30E1"/>
    <w:rsid w:val="00EC33C0"/>
    <w:rsid w:val="00EC5454"/>
    <w:rsid w:val="00ED172A"/>
    <w:rsid w:val="00ED6752"/>
    <w:rsid w:val="00EE0B89"/>
    <w:rsid w:val="00EE61E1"/>
    <w:rsid w:val="00EE790A"/>
    <w:rsid w:val="00EF088E"/>
    <w:rsid w:val="00EF2255"/>
    <w:rsid w:val="00EF6CD6"/>
    <w:rsid w:val="00F01C56"/>
    <w:rsid w:val="00F11F6C"/>
    <w:rsid w:val="00F12EAB"/>
    <w:rsid w:val="00F14BEC"/>
    <w:rsid w:val="00F225C5"/>
    <w:rsid w:val="00F23527"/>
    <w:rsid w:val="00F2587A"/>
    <w:rsid w:val="00F3074E"/>
    <w:rsid w:val="00F3715D"/>
    <w:rsid w:val="00F420C8"/>
    <w:rsid w:val="00F42A4C"/>
    <w:rsid w:val="00F43FB8"/>
    <w:rsid w:val="00F5226B"/>
    <w:rsid w:val="00F52B33"/>
    <w:rsid w:val="00F55257"/>
    <w:rsid w:val="00F55C38"/>
    <w:rsid w:val="00F57BF0"/>
    <w:rsid w:val="00F60004"/>
    <w:rsid w:val="00F604DE"/>
    <w:rsid w:val="00F624BA"/>
    <w:rsid w:val="00F70DF2"/>
    <w:rsid w:val="00F71355"/>
    <w:rsid w:val="00F73043"/>
    <w:rsid w:val="00F7376D"/>
    <w:rsid w:val="00F771A0"/>
    <w:rsid w:val="00F77492"/>
    <w:rsid w:val="00F776BE"/>
    <w:rsid w:val="00F77F3A"/>
    <w:rsid w:val="00F81CB0"/>
    <w:rsid w:val="00F859D3"/>
    <w:rsid w:val="00F86C0C"/>
    <w:rsid w:val="00F87A72"/>
    <w:rsid w:val="00F87D22"/>
    <w:rsid w:val="00F92082"/>
    <w:rsid w:val="00F9282A"/>
    <w:rsid w:val="00F9657D"/>
    <w:rsid w:val="00FA15B7"/>
    <w:rsid w:val="00FA53A3"/>
    <w:rsid w:val="00FA6435"/>
    <w:rsid w:val="00FA7BA4"/>
    <w:rsid w:val="00FB0DD7"/>
    <w:rsid w:val="00FB2188"/>
    <w:rsid w:val="00FB48EE"/>
    <w:rsid w:val="00FB7512"/>
    <w:rsid w:val="00FC0FEC"/>
    <w:rsid w:val="00FD022D"/>
    <w:rsid w:val="00FD08DB"/>
    <w:rsid w:val="00FD0F53"/>
    <w:rsid w:val="00FD1CB6"/>
    <w:rsid w:val="00FD7547"/>
    <w:rsid w:val="00FD7A45"/>
    <w:rsid w:val="00FE1CE1"/>
    <w:rsid w:val="00FE2538"/>
    <w:rsid w:val="00FE377D"/>
    <w:rsid w:val="00FE4046"/>
    <w:rsid w:val="00FF0292"/>
    <w:rsid w:val="00FF0BA4"/>
    <w:rsid w:val="00FF15E8"/>
    <w:rsid w:val="00FF5F5C"/>
    <w:rsid w:val="00FF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EA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BD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F6E0D"/>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F6E0D"/>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3325B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F6E0D"/>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F6E0D"/>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3325B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760CF0"/>
    <w:pPr>
      <w:tabs>
        <w:tab w:val="right" w:leader="dot" w:pos="9060"/>
      </w:tabs>
      <w:ind w:left="845" w:hanging="624"/>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24EA2"/>
    <w:pPr>
      <w:spacing w:before="0" w:after="240"/>
      <w:outlineLvl w:val="0"/>
    </w:pPr>
    <w:rPr>
      <w:bCs w:val="0"/>
      <w:sz w:val="36"/>
    </w:rPr>
  </w:style>
  <w:style w:type="paragraph" w:customStyle="1" w:styleId="FSCh2Part">
    <w:name w:val="FSC_h2_Part"/>
    <w:basedOn w:val="FSCbaseheading"/>
    <w:next w:val="Normal"/>
    <w:qFormat/>
    <w:rsid w:val="00D24EA2"/>
    <w:pPr>
      <w:spacing w:before="240" w:after="240"/>
      <w:outlineLvl w:val="1"/>
    </w:pPr>
    <w:rPr>
      <w:bCs w:val="0"/>
      <w:sz w:val="28"/>
      <w:szCs w:val="22"/>
    </w:rPr>
  </w:style>
  <w:style w:type="paragraph" w:customStyle="1" w:styleId="FSCh3Standard">
    <w:name w:val="FSC_h3_Standard"/>
    <w:basedOn w:val="FSCbaseheading"/>
    <w:next w:val="Normal"/>
    <w:qFormat/>
    <w:rsid w:val="003325B4"/>
    <w:pPr>
      <w:spacing w:before="240" w:after="240"/>
      <w:outlineLvl w:val="2"/>
    </w:pPr>
    <w:rPr>
      <w:sz w:val="2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rsid w:val="00DF4723"/>
    <w:pPr>
      <w:jc w:val="center"/>
    </w:pPr>
    <w:rPr>
      <w:rFonts w:cs="Arial"/>
      <w:b/>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75550B"/>
    <w:pPr>
      <w:widowControl/>
      <w:ind w:left="720"/>
      <w:contextualSpacing/>
    </w:pPr>
    <w:rPr>
      <w:rFonts w:eastAsiaTheme="minorHAnsi" w:cstheme="minorBidi"/>
      <w:szCs w:val="22"/>
      <w:lang w:bidi="ar-SA"/>
    </w:rPr>
  </w:style>
  <w:style w:type="paragraph" w:customStyle="1" w:styleId="Default">
    <w:name w:val="Default"/>
    <w:rsid w:val="0075550B"/>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aliases w:val="FSFooter Char"/>
    <w:basedOn w:val="DefaultParagraphFont"/>
    <w:link w:val="Footer"/>
    <w:uiPriority w:val="4"/>
    <w:rsid w:val="0075550B"/>
    <w:rPr>
      <w:rFonts w:ascii="Arial" w:hAnsi="Arial"/>
      <w:szCs w:val="24"/>
      <w:lang w:eastAsia="en-US" w:bidi="en-US"/>
    </w:rPr>
  </w:style>
  <w:style w:type="paragraph" w:customStyle="1" w:styleId="TableFootnote">
    <w:name w:val="TableFootnote"/>
    <w:basedOn w:val="Normal"/>
    <w:rsid w:val="0075550B"/>
    <w:pPr>
      <w:spacing w:before="120" w:after="120"/>
    </w:pPr>
    <w:rPr>
      <w:rFonts w:ascii="Times New Roman" w:hAnsi="Times New Roman"/>
      <w:snapToGrid w:val="0"/>
      <w:sz w:val="20"/>
      <w:szCs w:val="20"/>
      <w:lang w:eastAsia="zh-CN" w:bidi="ar-SA"/>
    </w:rPr>
  </w:style>
  <w:style w:type="paragraph" w:customStyle="1" w:styleId="CitaviBibliography">
    <w:name w:val="Citavi Bibliography"/>
    <w:basedOn w:val="Normal"/>
    <w:rsid w:val="00247B3E"/>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FE1CE1"/>
    <w:rPr>
      <w:b/>
      <w:bCs/>
    </w:rPr>
  </w:style>
  <w:style w:type="character" w:customStyle="1" w:styleId="CommentSubjectChar">
    <w:name w:val="Comment Subject Char"/>
    <w:basedOn w:val="CommentTextChar"/>
    <w:link w:val="CommentSubject"/>
    <w:semiHidden/>
    <w:rsid w:val="00FE1CE1"/>
    <w:rPr>
      <w:rFonts w:ascii="Arial" w:hAnsi="Arial"/>
      <w:b/>
      <w:bCs/>
      <w:lang w:eastAsia="en-US" w:bidi="en-US"/>
    </w:rPr>
  </w:style>
  <w:style w:type="paragraph" w:customStyle="1" w:styleId="FSTableHeading0">
    <w:name w:val="FS Table Heading"/>
    <w:basedOn w:val="Normal"/>
    <w:next w:val="FSTableHeading"/>
    <w:autoRedefine/>
    <w:qFormat/>
    <w:rsid w:val="008B1CAD"/>
    <w:pPr>
      <w:spacing w:before="120" w:after="120"/>
      <w:ind w:left="1134" w:hanging="1134"/>
    </w:pPr>
    <w:rPr>
      <w:rFonts w:cs="Arial"/>
      <w:i/>
      <w:szCs w:val="20"/>
    </w:rPr>
  </w:style>
  <w:style w:type="character" w:styleId="PlaceholderText">
    <w:name w:val="Placeholder Text"/>
    <w:basedOn w:val="DefaultParagraphFont"/>
    <w:uiPriority w:val="99"/>
    <w:semiHidden/>
    <w:rsid w:val="00A61B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17450">
      <w:bodyDiv w:val="1"/>
      <w:marLeft w:val="0"/>
      <w:marRight w:val="0"/>
      <w:marTop w:val="0"/>
      <w:marBottom w:val="0"/>
      <w:divBdr>
        <w:top w:val="none" w:sz="0" w:space="0" w:color="auto"/>
        <w:left w:val="none" w:sz="0" w:space="0" w:color="auto"/>
        <w:bottom w:val="none" w:sz="0" w:space="0" w:color="auto"/>
        <w:right w:val="none" w:sz="0" w:space="0" w:color="auto"/>
      </w:divBdr>
      <w:divsChild>
        <w:div w:id="1282690651">
          <w:marLeft w:val="0"/>
          <w:marRight w:val="0"/>
          <w:marTop w:val="0"/>
          <w:marBottom w:val="0"/>
          <w:divBdr>
            <w:top w:val="none" w:sz="0" w:space="0" w:color="auto"/>
            <w:left w:val="none" w:sz="0" w:space="0" w:color="auto"/>
            <w:bottom w:val="none" w:sz="0" w:space="0" w:color="auto"/>
            <w:right w:val="none" w:sz="0" w:space="0" w:color="auto"/>
          </w:divBdr>
          <w:divsChild>
            <w:div w:id="461579869">
              <w:marLeft w:val="0"/>
              <w:marRight w:val="0"/>
              <w:marTop w:val="0"/>
              <w:marBottom w:val="0"/>
              <w:divBdr>
                <w:top w:val="none" w:sz="0" w:space="0" w:color="auto"/>
                <w:left w:val="none" w:sz="0" w:space="0" w:color="auto"/>
                <w:bottom w:val="none" w:sz="0" w:space="0" w:color="auto"/>
                <w:right w:val="none" w:sz="0" w:space="0" w:color="auto"/>
              </w:divBdr>
              <w:divsChild>
                <w:div w:id="519051300">
                  <w:marLeft w:val="0"/>
                  <w:marRight w:val="0"/>
                  <w:marTop w:val="0"/>
                  <w:marBottom w:val="0"/>
                  <w:divBdr>
                    <w:top w:val="none" w:sz="0" w:space="0" w:color="auto"/>
                    <w:left w:val="none" w:sz="0" w:space="0" w:color="auto"/>
                    <w:bottom w:val="none" w:sz="0" w:space="0" w:color="auto"/>
                    <w:right w:val="none" w:sz="0" w:space="0" w:color="auto"/>
                  </w:divBdr>
                  <w:divsChild>
                    <w:div w:id="91779774">
                      <w:marLeft w:val="0"/>
                      <w:marRight w:val="0"/>
                      <w:marTop w:val="45"/>
                      <w:marBottom w:val="0"/>
                      <w:divBdr>
                        <w:top w:val="none" w:sz="0" w:space="0" w:color="auto"/>
                        <w:left w:val="none" w:sz="0" w:space="0" w:color="auto"/>
                        <w:bottom w:val="none" w:sz="0" w:space="0" w:color="auto"/>
                        <w:right w:val="none" w:sz="0" w:space="0" w:color="auto"/>
                      </w:divBdr>
                      <w:divsChild>
                        <w:div w:id="1026714488">
                          <w:marLeft w:val="0"/>
                          <w:marRight w:val="0"/>
                          <w:marTop w:val="0"/>
                          <w:marBottom w:val="0"/>
                          <w:divBdr>
                            <w:top w:val="none" w:sz="0" w:space="0" w:color="auto"/>
                            <w:left w:val="none" w:sz="0" w:space="0" w:color="auto"/>
                            <w:bottom w:val="none" w:sz="0" w:space="0" w:color="auto"/>
                            <w:right w:val="none" w:sz="0" w:space="0" w:color="auto"/>
                          </w:divBdr>
                          <w:divsChild>
                            <w:div w:id="1304845847">
                              <w:marLeft w:val="2070"/>
                              <w:marRight w:val="3960"/>
                              <w:marTop w:val="0"/>
                              <w:marBottom w:val="0"/>
                              <w:divBdr>
                                <w:top w:val="none" w:sz="0" w:space="0" w:color="auto"/>
                                <w:left w:val="none" w:sz="0" w:space="0" w:color="auto"/>
                                <w:bottom w:val="none" w:sz="0" w:space="0" w:color="auto"/>
                                <w:right w:val="none" w:sz="0" w:space="0" w:color="auto"/>
                              </w:divBdr>
                              <w:divsChild>
                                <w:div w:id="97794421">
                                  <w:marLeft w:val="0"/>
                                  <w:marRight w:val="0"/>
                                  <w:marTop w:val="0"/>
                                  <w:marBottom w:val="0"/>
                                  <w:divBdr>
                                    <w:top w:val="none" w:sz="0" w:space="0" w:color="auto"/>
                                    <w:left w:val="none" w:sz="0" w:space="0" w:color="auto"/>
                                    <w:bottom w:val="none" w:sz="0" w:space="0" w:color="auto"/>
                                    <w:right w:val="none" w:sz="0" w:space="0" w:color="auto"/>
                                  </w:divBdr>
                                  <w:divsChild>
                                    <w:div w:id="1946688961">
                                      <w:marLeft w:val="0"/>
                                      <w:marRight w:val="0"/>
                                      <w:marTop w:val="0"/>
                                      <w:marBottom w:val="0"/>
                                      <w:divBdr>
                                        <w:top w:val="none" w:sz="0" w:space="0" w:color="auto"/>
                                        <w:left w:val="none" w:sz="0" w:space="0" w:color="auto"/>
                                        <w:bottom w:val="none" w:sz="0" w:space="0" w:color="auto"/>
                                        <w:right w:val="none" w:sz="0" w:space="0" w:color="auto"/>
                                      </w:divBdr>
                                      <w:divsChild>
                                        <w:div w:id="510412234">
                                          <w:marLeft w:val="0"/>
                                          <w:marRight w:val="0"/>
                                          <w:marTop w:val="0"/>
                                          <w:marBottom w:val="0"/>
                                          <w:divBdr>
                                            <w:top w:val="none" w:sz="0" w:space="0" w:color="auto"/>
                                            <w:left w:val="none" w:sz="0" w:space="0" w:color="auto"/>
                                            <w:bottom w:val="none" w:sz="0" w:space="0" w:color="auto"/>
                                            <w:right w:val="none" w:sz="0" w:space="0" w:color="auto"/>
                                          </w:divBdr>
                                          <w:divsChild>
                                            <w:div w:id="1562323451">
                                              <w:marLeft w:val="0"/>
                                              <w:marRight w:val="0"/>
                                              <w:marTop w:val="90"/>
                                              <w:marBottom w:val="0"/>
                                              <w:divBdr>
                                                <w:top w:val="none" w:sz="0" w:space="0" w:color="auto"/>
                                                <w:left w:val="none" w:sz="0" w:space="0" w:color="auto"/>
                                                <w:bottom w:val="none" w:sz="0" w:space="0" w:color="auto"/>
                                                <w:right w:val="none" w:sz="0" w:space="0" w:color="auto"/>
                                              </w:divBdr>
                                              <w:divsChild>
                                                <w:div w:id="1660839602">
                                                  <w:marLeft w:val="0"/>
                                                  <w:marRight w:val="0"/>
                                                  <w:marTop w:val="0"/>
                                                  <w:marBottom w:val="0"/>
                                                  <w:divBdr>
                                                    <w:top w:val="none" w:sz="0" w:space="0" w:color="auto"/>
                                                    <w:left w:val="none" w:sz="0" w:space="0" w:color="auto"/>
                                                    <w:bottom w:val="none" w:sz="0" w:space="0" w:color="auto"/>
                                                    <w:right w:val="none" w:sz="0" w:space="0" w:color="auto"/>
                                                  </w:divBdr>
                                                  <w:divsChild>
                                                    <w:div w:id="1062171852">
                                                      <w:marLeft w:val="0"/>
                                                      <w:marRight w:val="0"/>
                                                      <w:marTop w:val="0"/>
                                                      <w:marBottom w:val="0"/>
                                                      <w:divBdr>
                                                        <w:top w:val="none" w:sz="0" w:space="0" w:color="auto"/>
                                                        <w:left w:val="none" w:sz="0" w:space="0" w:color="auto"/>
                                                        <w:bottom w:val="none" w:sz="0" w:space="0" w:color="auto"/>
                                                        <w:right w:val="none" w:sz="0" w:space="0" w:color="auto"/>
                                                      </w:divBdr>
                                                      <w:divsChild>
                                                        <w:div w:id="1588609580">
                                                          <w:marLeft w:val="0"/>
                                                          <w:marRight w:val="0"/>
                                                          <w:marTop w:val="0"/>
                                                          <w:marBottom w:val="0"/>
                                                          <w:divBdr>
                                                            <w:top w:val="none" w:sz="0" w:space="0" w:color="auto"/>
                                                            <w:left w:val="none" w:sz="0" w:space="0" w:color="auto"/>
                                                            <w:bottom w:val="none" w:sz="0" w:space="0" w:color="auto"/>
                                                            <w:right w:val="none" w:sz="0" w:space="0" w:color="auto"/>
                                                          </w:divBdr>
                                                          <w:divsChild>
                                                            <w:div w:id="1217277657">
                                                              <w:marLeft w:val="0"/>
                                                              <w:marRight w:val="0"/>
                                                              <w:marTop w:val="0"/>
                                                              <w:marBottom w:val="390"/>
                                                              <w:divBdr>
                                                                <w:top w:val="none" w:sz="0" w:space="0" w:color="auto"/>
                                                                <w:left w:val="none" w:sz="0" w:space="0" w:color="auto"/>
                                                                <w:bottom w:val="none" w:sz="0" w:space="0" w:color="auto"/>
                                                                <w:right w:val="none" w:sz="0" w:space="0" w:color="auto"/>
                                                              </w:divBdr>
                                                              <w:divsChild>
                                                                <w:div w:id="367801553">
                                                                  <w:marLeft w:val="0"/>
                                                                  <w:marRight w:val="0"/>
                                                                  <w:marTop w:val="0"/>
                                                                  <w:marBottom w:val="0"/>
                                                                  <w:divBdr>
                                                                    <w:top w:val="none" w:sz="0" w:space="0" w:color="auto"/>
                                                                    <w:left w:val="none" w:sz="0" w:space="0" w:color="auto"/>
                                                                    <w:bottom w:val="none" w:sz="0" w:space="0" w:color="auto"/>
                                                                    <w:right w:val="none" w:sz="0" w:space="0" w:color="auto"/>
                                                                  </w:divBdr>
                                                                  <w:divsChild>
                                                                    <w:div w:id="303628719">
                                                                      <w:marLeft w:val="0"/>
                                                                      <w:marRight w:val="0"/>
                                                                      <w:marTop w:val="0"/>
                                                                      <w:marBottom w:val="0"/>
                                                                      <w:divBdr>
                                                                        <w:top w:val="none" w:sz="0" w:space="0" w:color="auto"/>
                                                                        <w:left w:val="none" w:sz="0" w:space="0" w:color="auto"/>
                                                                        <w:bottom w:val="none" w:sz="0" w:space="0" w:color="auto"/>
                                                                        <w:right w:val="none" w:sz="0" w:space="0" w:color="auto"/>
                                                                      </w:divBdr>
                                                                      <w:divsChild>
                                                                        <w:div w:id="1061370241">
                                                                          <w:marLeft w:val="0"/>
                                                                          <w:marRight w:val="0"/>
                                                                          <w:marTop w:val="0"/>
                                                                          <w:marBottom w:val="0"/>
                                                                          <w:divBdr>
                                                                            <w:top w:val="none" w:sz="0" w:space="0" w:color="auto"/>
                                                                            <w:left w:val="none" w:sz="0" w:space="0" w:color="auto"/>
                                                                            <w:bottom w:val="none" w:sz="0" w:space="0" w:color="auto"/>
                                                                            <w:right w:val="none" w:sz="0" w:space="0" w:color="auto"/>
                                                                          </w:divBdr>
                                                                          <w:divsChild>
                                                                            <w:div w:id="2012902363">
                                                                              <w:marLeft w:val="0"/>
                                                                              <w:marRight w:val="0"/>
                                                                              <w:marTop w:val="0"/>
                                                                              <w:marBottom w:val="0"/>
                                                                              <w:divBdr>
                                                                                <w:top w:val="none" w:sz="0" w:space="0" w:color="auto"/>
                                                                                <w:left w:val="none" w:sz="0" w:space="0" w:color="auto"/>
                                                                                <w:bottom w:val="none" w:sz="0" w:space="0" w:color="auto"/>
                                                                                <w:right w:val="none" w:sz="0" w:space="0" w:color="auto"/>
                                                                              </w:divBdr>
                                                                              <w:divsChild>
                                                                                <w:div w:id="1126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allermatch.org/" TargetMode="External"/><Relationship Id="rId26" Type="http://schemas.openxmlformats.org/officeDocument/2006/relationships/hyperlink" Target="http://www.foodstandards.gov.au/code/applications/Pages/A1096XylanaseasaPA.aspx"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www.foodstandards.gov.au/code/applications/Documents/FINALISED%20APPLICATIONS.docx"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fermi.utmb.edu/" TargetMode="External"/><Relationship Id="rId25" Type="http://schemas.openxmlformats.org/officeDocument/2006/relationships/hyperlink" Target="https://login.usp.org/cas/login?service=http%3A%2F%2Fpublications.usp.org%2Fj_spring_cas_security_chec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ergenonline.com/" TargetMode="External"/><Relationship Id="rId20" Type="http://schemas.openxmlformats.org/officeDocument/2006/relationships/hyperlink" Target="https://www.anses.fr/en/system/files/BIOT2015sa0122.pdf" TargetMode="External"/><Relationship Id="rId29" Type="http://schemas.openxmlformats.org/officeDocument/2006/relationships/hyperlink" Target="https://scienceflora.org/journals/index.php/jes/article/download/1737/172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da.gov/Food/IngredientsPackagingLabeling/GRAS/NoticeInventory/ucm543892.htm" TargetMode="External"/><Relationship Id="rId32" Type="http://schemas.openxmlformats.org/officeDocument/2006/relationships/hyperlink" Target="http://www.foodstandards.gov.au/code/applications/Documents/FINALISED%20APPLICATIONS.docx" TargetMode="External"/><Relationship Id="rId28" Type="http://schemas.openxmlformats.org/officeDocument/2006/relationships/hyperlink" Target="http://www.foodstandards.gov.au/code/applications/Pages/A1125-Xylanase-BacillusSubtilisPA-Enzyme.aspx" TargetMode="External"/><Relationship Id="rId15" Type="http://schemas.openxmlformats.org/officeDocument/2006/relationships/hyperlink" Target="http://allergen.nihs.go.jp/ADFS/" TargetMode="External"/><Relationship Id="rId23" Type="http://schemas.openxmlformats.org/officeDocument/2006/relationships/hyperlink" Target="http://www.fao.org/fileadmin/templates/agns/pdf/topics/ec_jan2001.pdf" TargetMode="External"/><Relationship Id="rId10" Type="http://schemas.openxmlformats.org/officeDocument/2006/relationships/webSettings" Target="webSettings.xml"/><Relationship Id="rId19" Type="http://schemas.openxmlformats.org/officeDocument/2006/relationships/hyperlink" Target="http://web.expasy.org/peptide_cutter" TargetMode="External"/><Relationship Id="rId31" Type="http://schemas.openxmlformats.org/officeDocument/2006/relationships/hyperlink" Target="http://www.fao.org/ag/agn/jecfa-additives/docs/enzymes_en.htm" TargetMode="External"/><Relationship Id="rId30" Type="http://schemas.openxmlformats.org/officeDocument/2006/relationships/hyperlink" Target="http://www.sbcs.qmul.ac.uk/iubmb/enzyme/EC3/0201a.html" TargetMode="External"/><Relationship Id="rId9" Type="http://schemas.openxmlformats.org/officeDocument/2006/relationships/settings" Target="settings.xml"/><Relationship Id="rId14" Type="http://schemas.openxmlformats.org/officeDocument/2006/relationships/hyperlink" Target="https://www.cdc.gov/biosafety/publications/bmbl5/index.htm" TargetMode="External"/><Relationship Id="rId22" Type="http://schemas.openxmlformats.org/officeDocument/2006/relationships/hyperlink" Target="http://www.foodstandards.gov.au/code/applications/Documents/FINALISED%20APPLICATIONS.docx" TargetMode="External"/><Relationship Id="rId27" Type="http://schemas.openxmlformats.org/officeDocument/2006/relationships/hyperlink" Target="http://www.foodstandards.gov.au/code/applications/Documents/FINALISED%20APPLICATIONS.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eb.expasy.org/peptide_cutter/" TargetMode="External"/><Relationship Id="rId1" Type="http://schemas.openxmlformats.org/officeDocument/2006/relationships/hyperlink" Target="https://www.cdc.gov/biosafety/publications/bmbl5/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A1153</Related_x0020_project>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PersistId xmlns="7e329c68-5cbf-4e54-96e5-e53e71021bd2">true</_dlc_DocIdPersistId>
    <_dlc_DocId xmlns="7e329c68-5cbf-4e54-96e5-e53e71021bd2">X3VAMR3A5FUY-552-6691</_dlc_DocId>
    <TaxCatchAll xmlns="ec50576e-4a27-4780-a1e1-e59563bc70b8">
      <Value>7</Value>
    </TaxCatchAll>
    <a41428b017d04df981d58ffdf035d7b8 xmlns="ec50576e-4a27-4780-a1e1-e59563bc70b8">
      <Terms xmlns="http://schemas.microsoft.com/office/infopath/2007/PartnerControls"/>
    </a41428b017d04df981d58ffdf035d7b8>
    <_dlc_DocIdUrl xmlns="7e329c68-5cbf-4e54-96e5-e53e71021bd2">
      <Url>http://fsanzapps/applications/A1153/_layouts/15/DocIdRedir.aspx?ID=X3VAMR3A5FUY-552-6691</Url>
      <Description>X3VAMR3A5FUY-552-6691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12441-FB29-4AEB-BD21-E9AA95333FB8}"/>
</file>

<file path=customXml/itemProps2.xml><?xml version="1.0" encoding="utf-8"?>
<ds:datastoreItem xmlns:ds="http://schemas.openxmlformats.org/officeDocument/2006/customXml" ds:itemID="{B56BAD35-9C55-4551-9ED5-7FB3516128E2}"/>
</file>

<file path=customXml/itemProps3.xml><?xml version="1.0" encoding="utf-8"?>
<ds:datastoreItem xmlns:ds="http://schemas.openxmlformats.org/officeDocument/2006/customXml" ds:itemID="{68F66B6E-7A52-4495-A517-B86CA7B4F671}"/>
</file>

<file path=customXml/itemProps4.xml><?xml version="1.0" encoding="utf-8"?>
<ds:datastoreItem xmlns:ds="http://schemas.openxmlformats.org/officeDocument/2006/customXml" ds:itemID="{7BC12441-FB29-4AEB-BD21-E9AA95333FB8}">
  <ds:schemaRefs>
    <ds:schemaRef ds:uri="http://schemas.microsoft.com/office/2006/metadata/properties"/>
    <ds:schemaRef ds:uri="http://purl.org/dc/elements/1.1/"/>
    <ds:schemaRef ds:uri="7e329c68-5cbf-4e54-96e5-e53e71021bd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c50576e-4a27-4780-a1e1-e59563bc70b8"/>
    <ds:schemaRef ds:uri="http://purl.org/dc/dcmitype/"/>
    <ds:schemaRef ds:uri="http://purl.org/dc/terms/"/>
  </ds:schemaRefs>
</ds:datastoreItem>
</file>

<file path=customXml/itemProps5.xml><?xml version="1.0" encoding="utf-8"?>
<ds:datastoreItem xmlns:ds="http://schemas.openxmlformats.org/officeDocument/2006/customXml" ds:itemID="{B56BAD35-9C55-4551-9ED5-7FB3516128E2}">
  <ds:schemaRefs>
    <ds:schemaRef ds:uri="http://schemas.microsoft.com/sharepoint/v3/contenttype/forms"/>
  </ds:schemaRefs>
</ds:datastoreItem>
</file>

<file path=customXml/itemProps6.xml><?xml version="1.0" encoding="utf-8"?>
<ds:datastoreItem xmlns:ds="http://schemas.openxmlformats.org/officeDocument/2006/customXml" ds:itemID="{06A46E53-99BA-492C-BAF4-530694681B4F}"/>
</file>

<file path=docProps/app.xml><?xml version="1.0" encoding="utf-8"?>
<Properties xmlns="http://schemas.openxmlformats.org/officeDocument/2006/extended-properties" xmlns:vt="http://schemas.openxmlformats.org/officeDocument/2006/docPropsVTypes">
  <Template>Normal</Template>
  <TotalTime>0</TotalTime>
  <Pages>17</Pages>
  <Words>5819</Words>
  <Characters>33173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2021-03-11T03:24:00Z</dcterms:created>
  <dcterms:modified xsi:type="dcterms:W3CDTF">2021-03-11T03:24:00Z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bb7de7b5-2c23-4a49-91a1-22da86f1f244</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SPPCopyMoveEvent">
    <vt:lpwstr>1</vt:lpwstr>
  </property>
  <property fmtid="{D5CDD505-2E9C-101B-9397-08002B2CF9AE}" pid="7" name="TitusGUID">
    <vt:lpwstr>eb720f67-f803-4add-b8b7-9505f11824ab</vt:lpwstr>
  </property>
  <property fmtid="{D5CDD505-2E9C-101B-9397-08002B2CF9AE}" pid="8" name="ContentTypeId">
    <vt:lpwstr>0x010100CB2FFA9FD6109347A9495CD5860AFAE6</vt:lpwstr>
  </property>
  <property fmtid="{D5CDD505-2E9C-101B-9397-08002B2CF9AE}" pid="9" name="bjSaver">
    <vt:lpwstr>pOTpiByhkVOdNwcHojcGx5CWctje//j1</vt:lpwstr>
  </property>
  <property fmtid="{D5CDD505-2E9C-101B-9397-08002B2CF9AE}" pid="10" name="DisposalClass">
    <vt:lpwstr/>
  </property>
  <property fmtid="{D5CDD505-2E9C-101B-9397-08002B2CF9AE}" pid="11" name="_dlc_DocIdItemGuid">
    <vt:lpwstr>7a2b3f6d-9481-4e04-8912-76ab15acd8fc</vt:lpwstr>
  </property>
  <property fmtid="{D5CDD505-2E9C-101B-9397-08002B2CF9AE}" pid="12" name="BCS_">
    <vt:lpwstr>7;#Evaluation|43bd8487-b9f6-4055-946c-a118d364275d</vt:lpwstr>
  </property>
  <property fmtid="{D5CDD505-2E9C-101B-9397-08002B2CF9AE}" pid="13" name="RecordPoint_WorkflowType">
    <vt:lpwstr>ActiveSubmitStub</vt:lpwstr>
  </property>
  <property fmtid="{D5CDD505-2E9C-101B-9397-08002B2CF9AE}" pid="14" name="RecordPoint_ActiveItemListId">
    <vt:lpwstr>{fc5148d3-c74f-4850-9ff7-4541a9b7228f}</vt:lpwstr>
  </property>
  <property fmtid="{D5CDD505-2E9C-101B-9397-08002B2CF9AE}" pid="15" name="RecordPoint_ActiveItemUniqueId">
    <vt:lpwstr>{7a2b3f6d-9481-4e04-8912-76ab15acd8fc}</vt:lpwstr>
  </property>
  <property fmtid="{D5CDD505-2E9C-101B-9397-08002B2CF9AE}" pid="16" name="RecordPoint_ActiveItemWebId">
    <vt:lpwstr>{e97ac785-25d5-42bf-8442-1fb08930a135}</vt:lpwstr>
  </property>
  <property fmtid="{D5CDD505-2E9C-101B-9397-08002B2CF9AE}" pid="17" name="RecordPoint_ActiveItemSiteId">
    <vt:lpwstr>{dd95a578-5c6a-4f11-92f7-f95884d628d6}</vt:lpwstr>
  </property>
  <property fmtid="{D5CDD505-2E9C-101B-9397-08002B2CF9AE}" pid="18" name="RecordPoint_RecordNumberSubmitted">
    <vt:lpwstr>R0000129417</vt:lpwstr>
  </property>
  <property fmtid="{D5CDD505-2E9C-101B-9397-08002B2CF9AE}" pid="19" name="RecordPoint_SubmissionCompleted">
    <vt:lpwstr>2020-10-06T07:25:36.4693760+11:00</vt:lpwstr>
  </property>
</Properties>
</file>